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DCFED98" w14:textId="3D0C90FF" w:rsidR="001A2C79" w:rsidRDefault="001A2C79" w:rsidP="001A2C79"/>
    <w:p w14:paraId="27BEFD37" w14:textId="77777777" w:rsidR="00B60E3E" w:rsidRPr="00D65826" w:rsidRDefault="00B60E3E" w:rsidP="00B60E3E">
      <w:pPr>
        <w:rPr>
          <w:rFonts w:cs="CubeOT"/>
          <w:color w:val="517740" w:themeColor="accent2"/>
        </w:rPr>
      </w:pPr>
      <w:r w:rsidRPr="00D65826">
        <w:rPr>
          <w:rFonts w:cs="CubeOT"/>
          <w:color w:val="517740" w:themeColor="accent2"/>
        </w:rPr>
        <w:t>Professional profile</w:t>
      </w:r>
    </w:p>
    <w:p w14:paraId="1F6AE7D0" w14:textId="2CF0CBE5" w:rsidR="00D77C24" w:rsidRDefault="00CF4463" w:rsidP="00B60E3E">
      <w:pPr>
        <w:spacing w:after="120"/>
        <w:rPr>
          <w:rFonts w:cstheme="minorHAnsi"/>
          <w:sz w:val="20"/>
          <w:szCs w:val="20"/>
        </w:rPr>
      </w:pPr>
      <w:r w:rsidRPr="00CF4463">
        <w:rPr>
          <w:rFonts w:cstheme="minorHAnsi"/>
          <w:sz w:val="20"/>
          <w:szCs w:val="20"/>
        </w:rPr>
        <w:t xml:space="preserve">Clare Stott is a Senior Consultant </w:t>
      </w:r>
      <w:r>
        <w:rPr>
          <w:rFonts w:cstheme="minorHAnsi"/>
          <w:sz w:val="20"/>
          <w:szCs w:val="20"/>
        </w:rPr>
        <w:t>in</w:t>
      </w:r>
      <w:r w:rsidRPr="00CF4463">
        <w:rPr>
          <w:rFonts w:cstheme="minorHAnsi"/>
          <w:sz w:val="20"/>
          <w:szCs w:val="20"/>
        </w:rPr>
        <w:t xml:space="preserve"> Itad</w:t>
      </w:r>
      <w:r>
        <w:rPr>
          <w:rFonts w:cstheme="minorHAnsi"/>
          <w:sz w:val="20"/>
          <w:szCs w:val="20"/>
        </w:rPr>
        <w:t>’s</w:t>
      </w:r>
      <w:r w:rsidRPr="00CF4463">
        <w:rPr>
          <w:rFonts w:cstheme="minorHAnsi"/>
          <w:sz w:val="20"/>
          <w:szCs w:val="20"/>
        </w:rPr>
        <w:t xml:space="preserve"> Inclusive Growth and Climate Change practice, where she </w:t>
      </w:r>
      <w:r>
        <w:rPr>
          <w:rFonts w:cstheme="minorHAnsi"/>
          <w:sz w:val="20"/>
          <w:szCs w:val="20"/>
        </w:rPr>
        <w:t xml:space="preserve">delivers </w:t>
      </w:r>
      <w:r w:rsidRPr="00CF4463">
        <w:rPr>
          <w:rFonts w:cstheme="minorHAnsi"/>
          <w:sz w:val="20"/>
          <w:szCs w:val="20"/>
        </w:rPr>
        <w:t>monitoring, evaluation and learning</w:t>
      </w:r>
      <w:r>
        <w:rPr>
          <w:rFonts w:cstheme="minorHAnsi"/>
          <w:sz w:val="20"/>
          <w:szCs w:val="20"/>
        </w:rPr>
        <w:t xml:space="preserve"> (MEL), project management and strategy development</w:t>
      </w:r>
      <w:r w:rsidRPr="00CF4463">
        <w:rPr>
          <w:rFonts w:cstheme="minorHAnsi"/>
          <w:sz w:val="20"/>
          <w:szCs w:val="20"/>
        </w:rPr>
        <w:t xml:space="preserve"> across the climate change portfolio</w:t>
      </w:r>
      <w:r>
        <w:rPr>
          <w:rFonts w:cstheme="minorHAnsi"/>
          <w:sz w:val="20"/>
          <w:szCs w:val="20"/>
        </w:rPr>
        <w:t xml:space="preserve">. </w:t>
      </w:r>
      <w:r w:rsidRPr="00CF4463">
        <w:rPr>
          <w:rFonts w:cstheme="minorHAnsi"/>
          <w:sz w:val="20"/>
          <w:szCs w:val="20"/>
        </w:rPr>
        <w:t xml:space="preserve">Her thematic expertise is focussed on </w:t>
      </w:r>
      <w:r>
        <w:rPr>
          <w:rFonts w:cstheme="minorHAnsi"/>
          <w:sz w:val="20"/>
          <w:szCs w:val="20"/>
        </w:rPr>
        <w:t xml:space="preserve">different aspects of </w:t>
      </w:r>
      <w:r w:rsidRPr="00CF4463">
        <w:rPr>
          <w:rFonts w:cstheme="minorHAnsi"/>
          <w:sz w:val="20"/>
          <w:szCs w:val="20"/>
        </w:rPr>
        <w:t xml:space="preserve">climate resilience and adaptation, </w:t>
      </w:r>
      <w:r>
        <w:rPr>
          <w:rFonts w:cstheme="minorHAnsi"/>
          <w:sz w:val="20"/>
          <w:szCs w:val="20"/>
        </w:rPr>
        <w:t>including</w:t>
      </w:r>
      <w:r w:rsidRPr="00CF4463">
        <w:rPr>
          <w:rFonts w:cstheme="minorHAnsi"/>
          <w:sz w:val="20"/>
          <w:szCs w:val="20"/>
        </w:rPr>
        <w:t xml:space="preserve"> </w:t>
      </w:r>
      <w:r>
        <w:rPr>
          <w:rFonts w:cstheme="minorHAnsi"/>
          <w:sz w:val="20"/>
          <w:szCs w:val="20"/>
        </w:rPr>
        <w:t>local</w:t>
      </w:r>
      <w:r w:rsidR="00314368">
        <w:rPr>
          <w:rFonts w:cstheme="minorHAnsi"/>
          <w:sz w:val="20"/>
          <w:szCs w:val="20"/>
        </w:rPr>
        <w:t xml:space="preserve"> and nature-based</w:t>
      </w:r>
      <w:r>
        <w:rPr>
          <w:rFonts w:cstheme="minorHAnsi"/>
          <w:sz w:val="20"/>
          <w:szCs w:val="20"/>
        </w:rPr>
        <w:t xml:space="preserve"> approaches, </w:t>
      </w:r>
      <w:r w:rsidRPr="00CF4463">
        <w:rPr>
          <w:rFonts w:cstheme="minorHAnsi"/>
          <w:sz w:val="20"/>
          <w:szCs w:val="20"/>
        </w:rPr>
        <w:t>finance</w:t>
      </w:r>
      <w:r>
        <w:rPr>
          <w:rFonts w:cstheme="minorHAnsi"/>
          <w:sz w:val="20"/>
          <w:szCs w:val="20"/>
        </w:rPr>
        <w:t>, policy and</w:t>
      </w:r>
      <w:r w:rsidRPr="00CF4463">
        <w:rPr>
          <w:rFonts w:cstheme="minorHAnsi"/>
          <w:sz w:val="20"/>
          <w:szCs w:val="20"/>
        </w:rPr>
        <w:t xml:space="preserve"> innovatio</w:t>
      </w:r>
      <w:r>
        <w:rPr>
          <w:rFonts w:cstheme="minorHAnsi"/>
          <w:sz w:val="20"/>
          <w:szCs w:val="20"/>
        </w:rPr>
        <w:t>n</w:t>
      </w:r>
      <w:r w:rsidR="00FC7922">
        <w:rPr>
          <w:rFonts w:cstheme="minorHAnsi"/>
          <w:sz w:val="20"/>
          <w:szCs w:val="20"/>
        </w:rPr>
        <w:t xml:space="preserve">. Clare </w:t>
      </w:r>
      <w:r w:rsidR="00D77C24">
        <w:rPr>
          <w:rFonts w:cstheme="minorHAnsi"/>
          <w:sz w:val="20"/>
          <w:szCs w:val="20"/>
        </w:rPr>
        <w:t>has delivered M</w:t>
      </w:r>
      <w:r w:rsidR="00FC7922">
        <w:rPr>
          <w:rFonts w:cstheme="minorHAnsi"/>
          <w:sz w:val="20"/>
          <w:szCs w:val="20"/>
        </w:rPr>
        <w:t>E</w:t>
      </w:r>
      <w:r w:rsidR="00D77C24">
        <w:rPr>
          <w:rFonts w:cstheme="minorHAnsi"/>
          <w:sz w:val="20"/>
          <w:szCs w:val="20"/>
        </w:rPr>
        <w:t xml:space="preserve">L </w:t>
      </w:r>
      <w:r w:rsidR="00FC7922">
        <w:rPr>
          <w:rFonts w:cstheme="minorHAnsi"/>
          <w:sz w:val="20"/>
          <w:szCs w:val="20"/>
        </w:rPr>
        <w:t>assignments in these</w:t>
      </w:r>
      <w:r w:rsidR="00E0174F">
        <w:rPr>
          <w:rFonts w:cstheme="minorHAnsi"/>
          <w:sz w:val="20"/>
          <w:szCs w:val="20"/>
        </w:rPr>
        <w:t xml:space="preserve"> spaces </w:t>
      </w:r>
      <w:r w:rsidR="00D77C24">
        <w:rPr>
          <w:rFonts w:cstheme="minorHAnsi"/>
          <w:sz w:val="20"/>
          <w:szCs w:val="20"/>
        </w:rPr>
        <w:t xml:space="preserve">for diverse </w:t>
      </w:r>
      <w:r w:rsidR="00FC7922">
        <w:rPr>
          <w:rFonts w:cstheme="minorHAnsi"/>
          <w:sz w:val="20"/>
          <w:szCs w:val="20"/>
        </w:rPr>
        <w:t>clients</w:t>
      </w:r>
      <w:r w:rsidR="00E0174F">
        <w:rPr>
          <w:rFonts w:cstheme="minorHAnsi"/>
          <w:sz w:val="20"/>
          <w:szCs w:val="20"/>
        </w:rPr>
        <w:t>,</w:t>
      </w:r>
      <w:r w:rsidR="00D77C24">
        <w:rPr>
          <w:rFonts w:cstheme="minorHAnsi"/>
          <w:sz w:val="20"/>
          <w:szCs w:val="20"/>
        </w:rPr>
        <w:t xml:space="preserve"> including HMG’s DEFRA and FCDO, WFP, FMO, USAID, the World Bank Climate Investment Funds and others. </w:t>
      </w:r>
    </w:p>
    <w:p w14:paraId="18D882C3" w14:textId="637FDB52" w:rsidR="00314368" w:rsidRDefault="00314368" w:rsidP="00B60E3E">
      <w:pPr>
        <w:spacing w:after="120"/>
        <w:rPr>
          <w:rFonts w:cstheme="minorHAnsi"/>
          <w:sz w:val="20"/>
          <w:szCs w:val="20"/>
        </w:rPr>
      </w:pPr>
      <w:r>
        <w:rPr>
          <w:rFonts w:cstheme="minorHAnsi"/>
          <w:sz w:val="20"/>
          <w:szCs w:val="20"/>
        </w:rPr>
        <w:t xml:space="preserve">Clare has </w:t>
      </w:r>
      <w:r w:rsidR="00EB1DE5">
        <w:rPr>
          <w:rFonts w:cstheme="minorHAnsi"/>
          <w:sz w:val="20"/>
          <w:szCs w:val="20"/>
        </w:rPr>
        <w:t xml:space="preserve">strong expertise </w:t>
      </w:r>
      <w:r>
        <w:rPr>
          <w:rFonts w:cstheme="minorHAnsi"/>
          <w:sz w:val="20"/>
          <w:szCs w:val="20"/>
        </w:rPr>
        <w:t xml:space="preserve">in delivering </w:t>
      </w:r>
      <w:r w:rsidR="00784743">
        <w:rPr>
          <w:rFonts w:cstheme="minorHAnsi"/>
          <w:sz w:val="20"/>
          <w:szCs w:val="20"/>
        </w:rPr>
        <w:t>theory-based MEL.</w:t>
      </w:r>
      <w:r>
        <w:rPr>
          <w:rFonts w:cstheme="minorHAnsi"/>
          <w:sz w:val="20"/>
          <w:szCs w:val="20"/>
        </w:rPr>
        <w:t xml:space="preserve"> </w:t>
      </w:r>
      <w:r w:rsidR="00D77C24">
        <w:rPr>
          <w:rFonts w:cstheme="minorHAnsi"/>
          <w:sz w:val="20"/>
          <w:szCs w:val="20"/>
        </w:rPr>
        <w:t>She has supported the design and implementation of complex MEL</w:t>
      </w:r>
      <w:r w:rsidR="00D77C24" w:rsidRPr="00CF4463">
        <w:rPr>
          <w:rFonts w:cstheme="minorHAnsi"/>
          <w:sz w:val="20"/>
          <w:szCs w:val="20"/>
        </w:rPr>
        <w:t xml:space="preserve"> </w:t>
      </w:r>
      <w:r w:rsidR="00D77C24">
        <w:rPr>
          <w:rFonts w:cstheme="minorHAnsi"/>
          <w:sz w:val="20"/>
          <w:szCs w:val="20"/>
        </w:rPr>
        <w:t>approaches</w:t>
      </w:r>
      <w:r w:rsidR="00D77C24" w:rsidRPr="00CF4463">
        <w:rPr>
          <w:rFonts w:cstheme="minorHAnsi"/>
          <w:sz w:val="20"/>
          <w:szCs w:val="20"/>
        </w:rPr>
        <w:t xml:space="preserve">, including indicator and ToC development, </w:t>
      </w:r>
      <w:r w:rsidR="00D77C24">
        <w:rPr>
          <w:rFonts w:cstheme="minorHAnsi"/>
          <w:sz w:val="20"/>
          <w:szCs w:val="20"/>
        </w:rPr>
        <w:t xml:space="preserve">value for money assessments, </w:t>
      </w:r>
      <w:r w:rsidR="00D77C24" w:rsidRPr="00CF4463">
        <w:rPr>
          <w:rFonts w:cstheme="minorHAnsi"/>
          <w:sz w:val="20"/>
          <w:szCs w:val="20"/>
        </w:rPr>
        <w:t>formative and summative evaluations, case studies</w:t>
      </w:r>
      <w:r w:rsidR="00D77C24">
        <w:rPr>
          <w:rFonts w:cstheme="minorHAnsi"/>
          <w:sz w:val="20"/>
          <w:szCs w:val="20"/>
        </w:rPr>
        <w:t xml:space="preserve"> and </w:t>
      </w:r>
      <w:r w:rsidR="00D77C24" w:rsidRPr="00CF4463">
        <w:rPr>
          <w:rFonts w:cstheme="minorHAnsi"/>
          <w:sz w:val="20"/>
          <w:szCs w:val="20"/>
        </w:rPr>
        <w:t>syntheses.</w:t>
      </w:r>
      <w:r w:rsidR="00D77C24">
        <w:rPr>
          <w:rFonts w:cstheme="minorHAnsi"/>
          <w:sz w:val="20"/>
          <w:szCs w:val="20"/>
        </w:rPr>
        <w:t xml:space="preserve"> </w:t>
      </w:r>
      <w:r w:rsidR="002C0889">
        <w:rPr>
          <w:rFonts w:cstheme="minorHAnsi"/>
          <w:sz w:val="20"/>
          <w:szCs w:val="20"/>
        </w:rPr>
        <w:t>Clare leads the learning workstream for FCDO’s COAST MEL supplier</w:t>
      </w:r>
      <w:r w:rsidR="00905765">
        <w:rPr>
          <w:rFonts w:cstheme="minorHAnsi"/>
          <w:sz w:val="20"/>
          <w:szCs w:val="20"/>
        </w:rPr>
        <w:t xml:space="preserve">, designing and facilitating a robust learning approach to support evidence-informed adaptive management within the programme. </w:t>
      </w:r>
      <w:r>
        <w:rPr>
          <w:rFonts w:cstheme="minorHAnsi"/>
          <w:sz w:val="20"/>
          <w:szCs w:val="20"/>
        </w:rPr>
        <w:t xml:space="preserve">She </w:t>
      </w:r>
      <w:r w:rsidR="00E0174F">
        <w:rPr>
          <w:rFonts w:cstheme="minorHAnsi"/>
          <w:sz w:val="20"/>
          <w:szCs w:val="20"/>
        </w:rPr>
        <w:t xml:space="preserve">supports Itad’s impact evaluation </w:t>
      </w:r>
      <w:r w:rsidR="007D0DE1">
        <w:rPr>
          <w:rFonts w:cstheme="minorHAnsi"/>
          <w:sz w:val="20"/>
          <w:szCs w:val="20"/>
        </w:rPr>
        <w:t>as part of the</w:t>
      </w:r>
      <w:r w:rsidR="00784743">
        <w:rPr>
          <w:rFonts w:cstheme="minorHAnsi"/>
          <w:sz w:val="20"/>
          <w:szCs w:val="20"/>
        </w:rPr>
        <w:t xml:space="preserve"> Independent Evaluator for </w:t>
      </w:r>
      <w:r>
        <w:rPr>
          <w:rFonts w:cstheme="minorHAnsi"/>
          <w:sz w:val="20"/>
          <w:szCs w:val="20"/>
        </w:rPr>
        <w:t>DEFRA’s Biodiverse Landscape</w:t>
      </w:r>
      <w:r w:rsidR="007D0DE1">
        <w:rPr>
          <w:rFonts w:cstheme="minorHAnsi"/>
          <w:sz w:val="20"/>
          <w:szCs w:val="20"/>
        </w:rPr>
        <w:t>s</w:t>
      </w:r>
      <w:r>
        <w:rPr>
          <w:rFonts w:cstheme="minorHAnsi"/>
          <w:sz w:val="20"/>
          <w:szCs w:val="20"/>
        </w:rPr>
        <w:t xml:space="preserve"> Fund</w:t>
      </w:r>
      <w:r w:rsidR="00EB1DE5">
        <w:rPr>
          <w:rFonts w:cstheme="minorHAnsi"/>
          <w:sz w:val="20"/>
          <w:szCs w:val="20"/>
        </w:rPr>
        <w:t xml:space="preserve"> (BLF)</w:t>
      </w:r>
      <w:r>
        <w:rPr>
          <w:rFonts w:cstheme="minorHAnsi"/>
          <w:sz w:val="20"/>
          <w:szCs w:val="20"/>
        </w:rPr>
        <w:t xml:space="preserve">, </w:t>
      </w:r>
      <w:r w:rsidR="007D0DE1">
        <w:rPr>
          <w:rFonts w:cstheme="minorHAnsi"/>
          <w:sz w:val="20"/>
          <w:szCs w:val="20"/>
        </w:rPr>
        <w:t xml:space="preserve">for which </w:t>
      </w:r>
      <w:r w:rsidR="00784743">
        <w:rPr>
          <w:rFonts w:cstheme="minorHAnsi"/>
          <w:sz w:val="20"/>
          <w:szCs w:val="20"/>
        </w:rPr>
        <w:t xml:space="preserve">she </w:t>
      </w:r>
      <w:r w:rsidR="00190E3C">
        <w:rPr>
          <w:rFonts w:cstheme="minorHAnsi"/>
          <w:sz w:val="20"/>
          <w:szCs w:val="20"/>
        </w:rPr>
        <w:t>has developed</w:t>
      </w:r>
      <w:r w:rsidR="00784743">
        <w:rPr>
          <w:rFonts w:cstheme="minorHAnsi"/>
          <w:sz w:val="20"/>
          <w:szCs w:val="20"/>
        </w:rPr>
        <w:t xml:space="preserve"> indicator guidance, including for ICF Key Performance Indicators, </w:t>
      </w:r>
      <w:r w:rsidR="00190E3C">
        <w:rPr>
          <w:rFonts w:cstheme="minorHAnsi"/>
          <w:sz w:val="20"/>
          <w:szCs w:val="20"/>
        </w:rPr>
        <w:t xml:space="preserve">facilitated complex systems mapping and ToC processes, </w:t>
      </w:r>
      <w:r w:rsidR="00784743">
        <w:rPr>
          <w:rFonts w:cstheme="minorHAnsi"/>
          <w:sz w:val="20"/>
          <w:szCs w:val="20"/>
        </w:rPr>
        <w:t xml:space="preserve">and </w:t>
      </w:r>
      <w:r w:rsidR="00A1269E">
        <w:rPr>
          <w:rFonts w:cstheme="minorHAnsi"/>
          <w:sz w:val="20"/>
          <w:szCs w:val="20"/>
        </w:rPr>
        <w:t>supported</w:t>
      </w:r>
      <w:r w:rsidR="00784743">
        <w:rPr>
          <w:rFonts w:cstheme="minorHAnsi"/>
          <w:sz w:val="20"/>
          <w:szCs w:val="20"/>
        </w:rPr>
        <w:t xml:space="preserve"> the baseline </w:t>
      </w:r>
      <w:r w:rsidR="0032171F">
        <w:rPr>
          <w:rFonts w:cstheme="minorHAnsi"/>
          <w:sz w:val="20"/>
          <w:szCs w:val="20"/>
        </w:rPr>
        <w:t>MEL</w:t>
      </w:r>
      <w:r w:rsidR="00784743">
        <w:rPr>
          <w:rFonts w:cstheme="minorHAnsi"/>
          <w:sz w:val="20"/>
          <w:szCs w:val="20"/>
        </w:rPr>
        <w:t xml:space="preserve"> design. </w:t>
      </w:r>
      <w:r w:rsidR="00EB1DE5">
        <w:rPr>
          <w:rFonts w:cstheme="minorHAnsi"/>
          <w:sz w:val="20"/>
          <w:szCs w:val="20"/>
        </w:rPr>
        <w:t>Clare</w:t>
      </w:r>
      <w:r>
        <w:rPr>
          <w:rFonts w:cstheme="minorHAnsi"/>
          <w:sz w:val="20"/>
          <w:szCs w:val="20"/>
        </w:rPr>
        <w:t xml:space="preserve"> has completed external training in </w:t>
      </w:r>
      <w:r w:rsidR="00EB1DE5">
        <w:rPr>
          <w:rFonts w:cstheme="minorHAnsi"/>
          <w:sz w:val="20"/>
          <w:szCs w:val="20"/>
        </w:rPr>
        <w:t>theory-based MEL tools and</w:t>
      </w:r>
      <w:r>
        <w:rPr>
          <w:rFonts w:cstheme="minorHAnsi"/>
          <w:sz w:val="20"/>
          <w:szCs w:val="20"/>
        </w:rPr>
        <w:t xml:space="preserve"> approaches and actively participated in Itad’s internal learning and development programme, for which she is also a facilitator of Itad’s core MEL skills training module. </w:t>
      </w:r>
      <w:r w:rsidR="00EB1DE5">
        <w:rPr>
          <w:rFonts w:cstheme="minorHAnsi"/>
          <w:sz w:val="20"/>
          <w:szCs w:val="20"/>
        </w:rPr>
        <w:t xml:space="preserve">Through her technical work with Itad, Clare has delivered a series of case studies, including in </w:t>
      </w:r>
      <w:r w:rsidR="003378CA">
        <w:rPr>
          <w:rFonts w:cstheme="minorHAnsi"/>
          <w:sz w:val="20"/>
          <w:szCs w:val="20"/>
        </w:rPr>
        <w:t>Kenya</w:t>
      </w:r>
      <w:r w:rsidR="003378CA" w:rsidRPr="003378CA">
        <w:rPr>
          <w:rFonts w:cstheme="minorHAnsi"/>
          <w:sz w:val="20"/>
          <w:szCs w:val="20"/>
        </w:rPr>
        <w:t xml:space="preserve">, </w:t>
      </w:r>
      <w:r w:rsidR="00EB1DE5" w:rsidRPr="003378CA">
        <w:rPr>
          <w:rFonts w:cstheme="minorHAnsi"/>
          <w:sz w:val="20"/>
          <w:szCs w:val="20"/>
        </w:rPr>
        <w:t xml:space="preserve">Nepal, </w:t>
      </w:r>
      <w:r w:rsidR="0032171F" w:rsidRPr="003378CA">
        <w:rPr>
          <w:rFonts w:cstheme="minorHAnsi"/>
          <w:sz w:val="20"/>
          <w:szCs w:val="20"/>
        </w:rPr>
        <w:t xml:space="preserve">Vietnam, </w:t>
      </w:r>
      <w:r w:rsidR="00EB1DE5" w:rsidRPr="003378CA">
        <w:rPr>
          <w:rFonts w:cstheme="minorHAnsi"/>
          <w:sz w:val="20"/>
          <w:szCs w:val="20"/>
        </w:rPr>
        <w:t>Indonesia and the Philippines.</w:t>
      </w:r>
    </w:p>
    <w:p w14:paraId="31554A57" w14:textId="5124EE0C" w:rsidR="00CF4463" w:rsidRPr="001D4C02" w:rsidRDefault="00EB1DE5" w:rsidP="00CF4463">
      <w:pPr>
        <w:spacing w:after="120"/>
        <w:rPr>
          <w:rFonts w:cstheme="minorHAnsi"/>
          <w:sz w:val="20"/>
          <w:szCs w:val="20"/>
        </w:rPr>
      </w:pPr>
      <w:r>
        <w:rPr>
          <w:rFonts w:cstheme="minorHAnsi"/>
          <w:sz w:val="20"/>
          <w:szCs w:val="20"/>
        </w:rPr>
        <w:t>Clar</w:t>
      </w:r>
      <w:r w:rsidR="008E4ADA">
        <w:rPr>
          <w:rFonts w:cstheme="minorHAnsi"/>
          <w:sz w:val="20"/>
          <w:szCs w:val="20"/>
        </w:rPr>
        <w:t>e</w:t>
      </w:r>
      <w:r w:rsidR="00A1269E">
        <w:rPr>
          <w:rFonts w:cstheme="minorHAnsi"/>
          <w:sz w:val="20"/>
          <w:szCs w:val="20"/>
        </w:rPr>
        <w:t xml:space="preserve"> has </w:t>
      </w:r>
      <w:r w:rsidR="00892817">
        <w:rPr>
          <w:rFonts w:cstheme="minorHAnsi"/>
          <w:sz w:val="20"/>
          <w:szCs w:val="20"/>
        </w:rPr>
        <w:t xml:space="preserve">17 years professional experience </w:t>
      </w:r>
      <w:r w:rsidR="00FC4061">
        <w:rPr>
          <w:rFonts w:cstheme="minorHAnsi"/>
          <w:sz w:val="20"/>
          <w:szCs w:val="20"/>
        </w:rPr>
        <w:t xml:space="preserve">working </w:t>
      </w:r>
      <w:r w:rsidR="00892817">
        <w:rPr>
          <w:rFonts w:cstheme="minorHAnsi"/>
          <w:sz w:val="20"/>
          <w:szCs w:val="20"/>
        </w:rPr>
        <w:t>in the social sciences</w:t>
      </w:r>
      <w:r w:rsidR="00215DFB">
        <w:rPr>
          <w:rFonts w:cstheme="minorHAnsi"/>
          <w:sz w:val="20"/>
          <w:szCs w:val="20"/>
        </w:rPr>
        <w:t>, specialising</w:t>
      </w:r>
      <w:r w:rsidR="004378EA">
        <w:rPr>
          <w:rFonts w:cstheme="minorHAnsi"/>
          <w:sz w:val="20"/>
          <w:szCs w:val="20"/>
        </w:rPr>
        <w:t xml:space="preserve"> through her masters in </w:t>
      </w:r>
      <w:r w:rsidR="00215DFB">
        <w:rPr>
          <w:rFonts w:cstheme="minorHAnsi"/>
          <w:sz w:val="20"/>
          <w:szCs w:val="20"/>
        </w:rPr>
        <w:t xml:space="preserve">climate </w:t>
      </w:r>
      <w:r w:rsidR="004378EA">
        <w:rPr>
          <w:rFonts w:cstheme="minorHAnsi"/>
          <w:sz w:val="20"/>
          <w:szCs w:val="20"/>
        </w:rPr>
        <w:t xml:space="preserve">change </w:t>
      </w:r>
      <w:r w:rsidR="00215DFB">
        <w:rPr>
          <w:rFonts w:cstheme="minorHAnsi"/>
          <w:sz w:val="20"/>
          <w:szCs w:val="20"/>
        </w:rPr>
        <w:t>and development</w:t>
      </w:r>
      <w:r w:rsidR="004378EA">
        <w:rPr>
          <w:rFonts w:cstheme="minorHAnsi"/>
          <w:sz w:val="20"/>
          <w:szCs w:val="20"/>
        </w:rPr>
        <w:t xml:space="preserve">, and moving into the MEL space within that. Her climate change expertise </w:t>
      </w:r>
      <w:r w:rsidR="008E4ADA">
        <w:rPr>
          <w:rFonts w:cstheme="minorHAnsi"/>
          <w:sz w:val="20"/>
          <w:szCs w:val="20"/>
        </w:rPr>
        <w:t>is</w:t>
      </w:r>
      <w:r>
        <w:rPr>
          <w:rFonts w:cstheme="minorHAnsi"/>
          <w:sz w:val="20"/>
          <w:szCs w:val="20"/>
        </w:rPr>
        <w:t xml:space="preserve"> focussed</w:t>
      </w:r>
      <w:r w:rsidR="004378EA">
        <w:rPr>
          <w:rFonts w:cstheme="minorHAnsi"/>
          <w:sz w:val="20"/>
          <w:szCs w:val="20"/>
        </w:rPr>
        <w:t xml:space="preserve"> primarily</w:t>
      </w:r>
      <w:r>
        <w:rPr>
          <w:rFonts w:cstheme="minorHAnsi"/>
          <w:sz w:val="20"/>
          <w:szCs w:val="20"/>
        </w:rPr>
        <w:t xml:space="preserve"> on climate </w:t>
      </w:r>
      <w:r w:rsidR="004378EA">
        <w:rPr>
          <w:rFonts w:cstheme="minorHAnsi"/>
          <w:sz w:val="20"/>
          <w:szCs w:val="20"/>
        </w:rPr>
        <w:t>resilience</w:t>
      </w:r>
      <w:r w:rsidR="00B71BFB">
        <w:rPr>
          <w:rFonts w:cstheme="minorHAnsi"/>
          <w:sz w:val="20"/>
          <w:szCs w:val="20"/>
        </w:rPr>
        <w:t xml:space="preserve">, alongside climate finance, adaptation, </w:t>
      </w:r>
      <w:r w:rsidR="00E64052">
        <w:rPr>
          <w:rFonts w:cstheme="minorHAnsi"/>
          <w:sz w:val="20"/>
          <w:szCs w:val="20"/>
        </w:rPr>
        <w:t>policy</w:t>
      </w:r>
      <w:r w:rsidR="00B71BFB">
        <w:rPr>
          <w:rFonts w:cstheme="minorHAnsi"/>
          <w:sz w:val="20"/>
          <w:szCs w:val="20"/>
        </w:rPr>
        <w:t xml:space="preserve"> and innovation</w:t>
      </w:r>
      <w:r>
        <w:rPr>
          <w:rFonts w:cstheme="minorHAnsi"/>
          <w:sz w:val="20"/>
          <w:szCs w:val="20"/>
        </w:rPr>
        <w:t xml:space="preserve">. </w:t>
      </w:r>
      <w:r w:rsidRPr="00EB1DE5">
        <w:rPr>
          <w:rFonts w:cstheme="minorHAnsi"/>
          <w:sz w:val="20"/>
          <w:szCs w:val="20"/>
        </w:rPr>
        <w:t xml:space="preserve">Before joining Itad, </w:t>
      </w:r>
      <w:r>
        <w:rPr>
          <w:rFonts w:cstheme="minorHAnsi"/>
          <w:sz w:val="20"/>
          <w:szCs w:val="20"/>
        </w:rPr>
        <w:t>she</w:t>
      </w:r>
      <w:r w:rsidRPr="00EB1DE5">
        <w:rPr>
          <w:rFonts w:cstheme="minorHAnsi"/>
          <w:sz w:val="20"/>
          <w:szCs w:val="20"/>
        </w:rPr>
        <w:t xml:space="preserve"> worked as an independent consultant, delivering climate policy, governance and finance projects for </w:t>
      </w:r>
      <w:r w:rsidR="00784743">
        <w:rPr>
          <w:rFonts w:cstheme="minorHAnsi"/>
          <w:sz w:val="20"/>
          <w:szCs w:val="20"/>
        </w:rPr>
        <w:t>international clients</w:t>
      </w:r>
      <w:r w:rsidRPr="00EB1DE5">
        <w:rPr>
          <w:rFonts w:cstheme="minorHAnsi"/>
          <w:sz w:val="20"/>
          <w:szCs w:val="20"/>
        </w:rPr>
        <w:t xml:space="preserve">. </w:t>
      </w:r>
      <w:r>
        <w:rPr>
          <w:rFonts w:cstheme="minorHAnsi"/>
          <w:sz w:val="20"/>
          <w:szCs w:val="20"/>
        </w:rPr>
        <w:t>Her work included co-facilitating climate finance trainings with government members across Asia-Pacific, supporting the d</w:t>
      </w:r>
      <w:r w:rsidR="00784743">
        <w:rPr>
          <w:rFonts w:cstheme="minorHAnsi"/>
          <w:sz w:val="20"/>
          <w:szCs w:val="20"/>
        </w:rPr>
        <w:t>rafting</w:t>
      </w:r>
      <w:r>
        <w:rPr>
          <w:rFonts w:cstheme="minorHAnsi"/>
          <w:sz w:val="20"/>
          <w:szCs w:val="20"/>
        </w:rPr>
        <w:t xml:space="preserve"> of the Myanmar climate change strategy with UNDP, </w:t>
      </w:r>
      <w:r w:rsidR="00784743">
        <w:rPr>
          <w:rFonts w:cstheme="minorHAnsi"/>
          <w:sz w:val="20"/>
          <w:szCs w:val="20"/>
        </w:rPr>
        <w:t xml:space="preserve">developing an adaptation technology database for the UNFCCC </w:t>
      </w:r>
      <w:r>
        <w:rPr>
          <w:rFonts w:cstheme="minorHAnsi"/>
          <w:sz w:val="20"/>
          <w:szCs w:val="20"/>
        </w:rPr>
        <w:t>and de</w:t>
      </w:r>
      <w:r w:rsidR="00784743">
        <w:rPr>
          <w:rFonts w:cstheme="minorHAnsi"/>
          <w:sz w:val="20"/>
          <w:szCs w:val="20"/>
        </w:rPr>
        <w:t>livering</w:t>
      </w:r>
      <w:r>
        <w:rPr>
          <w:rFonts w:cstheme="minorHAnsi"/>
          <w:sz w:val="20"/>
          <w:szCs w:val="20"/>
        </w:rPr>
        <w:t xml:space="preserve"> a set of climate-sensitive indicators for the SDGs. </w:t>
      </w:r>
      <w:r w:rsidRPr="00EB1DE5">
        <w:rPr>
          <w:rFonts w:cstheme="minorHAnsi"/>
          <w:sz w:val="20"/>
          <w:szCs w:val="20"/>
        </w:rPr>
        <w:t xml:space="preserve">She held a research post at the International Centre for Climate Change and Development in Bangladesh. Her research focussed on climate change adaptation, </w:t>
      </w:r>
      <w:r w:rsidR="00784743">
        <w:rPr>
          <w:rFonts w:cstheme="minorHAnsi"/>
          <w:sz w:val="20"/>
          <w:szCs w:val="20"/>
        </w:rPr>
        <w:t>local</w:t>
      </w:r>
      <w:r w:rsidRPr="00EB1DE5">
        <w:rPr>
          <w:rFonts w:cstheme="minorHAnsi"/>
          <w:sz w:val="20"/>
          <w:szCs w:val="20"/>
        </w:rPr>
        <w:t xml:space="preserve"> resilience</w:t>
      </w:r>
      <w:r w:rsidR="00784743">
        <w:rPr>
          <w:rFonts w:cstheme="minorHAnsi"/>
          <w:sz w:val="20"/>
          <w:szCs w:val="20"/>
        </w:rPr>
        <w:t xml:space="preserve"> approaches</w:t>
      </w:r>
      <w:r w:rsidRPr="00EB1DE5">
        <w:rPr>
          <w:rFonts w:cstheme="minorHAnsi"/>
          <w:sz w:val="20"/>
          <w:szCs w:val="20"/>
        </w:rPr>
        <w:t xml:space="preserve"> and disaster risk reduction</w:t>
      </w:r>
      <w:r w:rsidR="0032171F">
        <w:rPr>
          <w:rFonts w:cstheme="minorHAnsi"/>
          <w:sz w:val="20"/>
          <w:szCs w:val="20"/>
        </w:rPr>
        <w:t>,</w:t>
      </w:r>
      <w:r w:rsidR="00784743">
        <w:rPr>
          <w:rFonts w:cstheme="minorHAnsi"/>
          <w:sz w:val="20"/>
          <w:szCs w:val="20"/>
        </w:rPr>
        <w:t xml:space="preserve"> in urban and rural contexts</w:t>
      </w:r>
      <w:r w:rsidRPr="00EB1DE5">
        <w:rPr>
          <w:rFonts w:cstheme="minorHAnsi"/>
          <w:sz w:val="20"/>
          <w:szCs w:val="20"/>
        </w:rPr>
        <w:t>. Whilst in Bangladesh, Clare co-founded and managed a climate change knowledge network</w:t>
      </w:r>
      <w:r w:rsidR="00784743">
        <w:rPr>
          <w:rFonts w:cstheme="minorHAnsi"/>
          <w:sz w:val="20"/>
          <w:szCs w:val="20"/>
        </w:rPr>
        <w:t>, ‘Gobeshona’,</w:t>
      </w:r>
      <w:r w:rsidRPr="00EB1DE5">
        <w:rPr>
          <w:rFonts w:cstheme="minorHAnsi"/>
          <w:sz w:val="20"/>
          <w:szCs w:val="20"/>
        </w:rPr>
        <w:t xml:space="preserve"> that supports climate-related programme and policy development in Bangladesh. Clare holds an MSc from University College London in Anthropology, Environment and Development, where she specialised in climate change adaptation, exploring local level knowledge sharing </w:t>
      </w:r>
      <w:r w:rsidR="00784743">
        <w:rPr>
          <w:rFonts w:cstheme="minorHAnsi"/>
          <w:sz w:val="20"/>
          <w:szCs w:val="20"/>
        </w:rPr>
        <w:t xml:space="preserve">for adaptation </w:t>
      </w:r>
      <w:r w:rsidRPr="00EB1DE5">
        <w:rPr>
          <w:rFonts w:cstheme="minorHAnsi"/>
          <w:sz w:val="20"/>
          <w:szCs w:val="20"/>
        </w:rPr>
        <w:t>in coastal Bangladesh.</w:t>
      </w:r>
    </w:p>
    <w:tbl>
      <w:tblPr>
        <w:tblW w:w="5000" w:type="pct"/>
        <w:tblCellSpacing w:w="14" w:type="dxa"/>
        <w:tblInd w:w="-28" w:type="dxa"/>
        <w:tblLayout w:type="fixed"/>
        <w:tblCellMar>
          <w:top w:w="15" w:type="dxa"/>
          <w:left w:w="15" w:type="dxa"/>
          <w:bottom w:w="15" w:type="dxa"/>
          <w:right w:w="15" w:type="dxa"/>
        </w:tblCellMar>
        <w:tblLook w:val="04A0" w:firstRow="1" w:lastRow="0" w:firstColumn="1" w:lastColumn="0" w:noHBand="0" w:noVBand="1"/>
      </w:tblPr>
      <w:tblGrid>
        <w:gridCol w:w="1512"/>
        <w:gridCol w:w="3372"/>
        <w:gridCol w:w="1349"/>
        <w:gridCol w:w="4228"/>
      </w:tblGrid>
      <w:tr w:rsidR="00B60E3E" w:rsidRPr="0052548A" w14:paraId="47C730A5" w14:textId="77777777" w:rsidTr="005F5EB5">
        <w:trPr>
          <w:trHeight w:val="48"/>
          <w:tblCellSpacing w:w="14" w:type="dxa"/>
        </w:trPr>
        <w:tc>
          <w:tcPr>
            <w:tcW w:w="706" w:type="pct"/>
          </w:tcPr>
          <w:p w14:paraId="06CD45B7" w14:textId="77777777" w:rsidR="00B60E3E" w:rsidRPr="00FE5645" w:rsidRDefault="00B60E3E" w:rsidP="005F5EB5">
            <w:pPr>
              <w:ind w:right="112"/>
              <w:jc w:val="both"/>
              <w:rPr>
                <w:rFonts w:cs="CubeOT"/>
                <w:bCs/>
              </w:rPr>
            </w:pPr>
            <w:r w:rsidRPr="00D65826">
              <w:rPr>
                <w:rFonts w:cs="CubeOT"/>
                <w:bCs/>
                <w:color w:val="517740" w:themeColor="accent2"/>
              </w:rPr>
              <w:t>Nationality</w:t>
            </w:r>
          </w:p>
        </w:tc>
        <w:tc>
          <w:tcPr>
            <w:tcW w:w="1607" w:type="pct"/>
          </w:tcPr>
          <w:p w14:paraId="0BF82246" w14:textId="61E399B3" w:rsidR="00B60E3E" w:rsidRPr="00FE5645" w:rsidRDefault="0032171F" w:rsidP="005F5EB5">
            <w:pPr>
              <w:ind w:right="112"/>
              <w:rPr>
                <w:sz w:val="20"/>
                <w:szCs w:val="18"/>
              </w:rPr>
            </w:pPr>
            <w:r>
              <w:rPr>
                <w:sz w:val="20"/>
                <w:szCs w:val="18"/>
              </w:rPr>
              <w:t>British</w:t>
            </w:r>
          </w:p>
        </w:tc>
        <w:tc>
          <w:tcPr>
            <w:tcW w:w="635" w:type="pct"/>
            <w:vMerge w:val="restart"/>
          </w:tcPr>
          <w:p w14:paraId="49479206" w14:textId="77777777" w:rsidR="00B60E3E" w:rsidRPr="00FE5645" w:rsidRDefault="00B60E3E" w:rsidP="005F5EB5">
            <w:pPr>
              <w:ind w:right="112"/>
              <w:rPr>
                <w:sz w:val="20"/>
                <w:szCs w:val="18"/>
              </w:rPr>
            </w:pPr>
            <w:r w:rsidRPr="00D65826">
              <w:rPr>
                <w:rFonts w:cs="CubeOT"/>
                <w:bCs/>
                <w:color w:val="517740" w:themeColor="accent2"/>
              </w:rPr>
              <w:t>Country experience</w:t>
            </w:r>
          </w:p>
        </w:tc>
        <w:tc>
          <w:tcPr>
            <w:tcW w:w="1985" w:type="pct"/>
            <w:vMerge w:val="restart"/>
          </w:tcPr>
          <w:p w14:paraId="59B9CBAA" w14:textId="22F9D56A" w:rsidR="00B60E3E" w:rsidRPr="00FE5645" w:rsidRDefault="0032171F" w:rsidP="005F5EB5">
            <w:pPr>
              <w:ind w:right="112"/>
              <w:rPr>
                <w:sz w:val="20"/>
                <w:szCs w:val="18"/>
              </w:rPr>
            </w:pPr>
            <w:r w:rsidRPr="00E46613">
              <w:rPr>
                <w:sz w:val="20"/>
                <w:szCs w:val="18"/>
              </w:rPr>
              <w:t>Bangladesh,</w:t>
            </w:r>
            <w:r>
              <w:rPr>
                <w:sz w:val="20"/>
                <w:szCs w:val="18"/>
              </w:rPr>
              <w:t xml:space="preserve"> Indonesia, Kenya, </w:t>
            </w:r>
            <w:r w:rsidRPr="00E46613">
              <w:rPr>
                <w:sz w:val="20"/>
                <w:szCs w:val="18"/>
              </w:rPr>
              <w:t xml:space="preserve">Myanmar, </w:t>
            </w:r>
            <w:r>
              <w:rPr>
                <w:sz w:val="20"/>
                <w:szCs w:val="18"/>
              </w:rPr>
              <w:t>Nepal, the Philippines,</w:t>
            </w:r>
            <w:r w:rsidRPr="00E46613">
              <w:rPr>
                <w:sz w:val="20"/>
                <w:szCs w:val="18"/>
              </w:rPr>
              <w:t xml:space="preserve"> Tanzania</w:t>
            </w:r>
            <w:r>
              <w:rPr>
                <w:sz w:val="20"/>
                <w:szCs w:val="18"/>
              </w:rPr>
              <w:t>, Vietnam</w:t>
            </w:r>
          </w:p>
        </w:tc>
      </w:tr>
      <w:tr w:rsidR="00B60E3E" w:rsidRPr="0052548A" w14:paraId="677D5621" w14:textId="77777777" w:rsidTr="005F5EB5">
        <w:trPr>
          <w:tblCellSpacing w:w="14" w:type="dxa"/>
        </w:trPr>
        <w:tc>
          <w:tcPr>
            <w:tcW w:w="706" w:type="pct"/>
          </w:tcPr>
          <w:p w14:paraId="3FA1F565" w14:textId="77777777" w:rsidR="00B60E3E" w:rsidRPr="00FE5645" w:rsidRDefault="00B60E3E" w:rsidP="005F5EB5">
            <w:pPr>
              <w:ind w:right="112"/>
              <w:jc w:val="both"/>
              <w:rPr>
                <w:b/>
              </w:rPr>
            </w:pPr>
            <w:r w:rsidRPr="00D65826">
              <w:rPr>
                <w:rFonts w:cs="CubeOT"/>
                <w:bCs/>
                <w:color w:val="517740" w:themeColor="accent2"/>
              </w:rPr>
              <w:t>Languages</w:t>
            </w:r>
          </w:p>
        </w:tc>
        <w:tc>
          <w:tcPr>
            <w:tcW w:w="1607" w:type="pct"/>
          </w:tcPr>
          <w:p w14:paraId="434FFA29" w14:textId="4DD3A6A3" w:rsidR="00B60E3E" w:rsidRPr="00FE5645" w:rsidRDefault="0032171F" w:rsidP="005F5EB5">
            <w:pPr>
              <w:ind w:right="112"/>
              <w:rPr>
                <w:sz w:val="20"/>
                <w:szCs w:val="18"/>
              </w:rPr>
            </w:pPr>
            <w:r>
              <w:rPr>
                <w:sz w:val="20"/>
                <w:szCs w:val="18"/>
              </w:rPr>
              <w:t>English (native)</w:t>
            </w:r>
          </w:p>
        </w:tc>
        <w:tc>
          <w:tcPr>
            <w:tcW w:w="635" w:type="pct"/>
            <w:vMerge/>
          </w:tcPr>
          <w:p w14:paraId="6E3CC1E5" w14:textId="77777777" w:rsidR="00B60E3E" w:rsidRPr="00FE5645" w:rsidRDefault="00B60E3E" w:rsidP="005F5EB5">
            <w:pPr>
              <w:ind w:right="112"/>
              <w:rPr>
                <w:sz w:val="20"/>
                <w:szCs w:val="18"/>
              </w:rPr>
            </w:pPr>
          </w:p>
        </w:tc>
        <w:tc>
          <w:tcPr>
            <w:tcW w:w="1985" w:type="pct"/>
            <w:vMerge/>
          </w:tcPr>
          <w:p w14:paraId="2BE76794" w14:textId="77777777" w:rsidR="00B60E3E" w:rsidRPr="00FE5645" w:rsidRDefault="00B60E3E" w:rsidP="005F5EB5">
            <w:pPr>
              <w:ind w:right="112"/>
              <w:rPr>
                <w:sz w:val="20"/>
                <w:szCs w:val="18"/>
              </w:rPr>
            </w:pPr>
          </w:p>
        </w:tc>
      </w:tr>
      <w:tr w:rsidR="00B60E3E" w:rsidRPr="00CE3ABA" w14:paraId="1537920E" w14:textId="77777777" w:rsidTr="005F5EB5">
        <w:trPr>
          <w:tblCellSpacing w:w="14" w:type="dxa"/>
        </w:trPr>
        <w:tc>
          <w:tcPr>
            <w:tcW w:w="706" w:type="pct"/>
          </w:tcPr>
          <w:p w14:paraId="4E5E2720" w14:textId="77777777" w:rsidR="00B60E3E" w:rsidRPr="00FE5645" w:rsidRDefault="00B60E3E" w:rsidP="005F5EB5">
            <w:pPr>
              <w:spacing w:line="276" w:lineRule="auto"/>
              <w:ind w:right="112"/>
              <w:jc w:val="both"/>
              <w:rPr>
                <w:b/>
                <w:color w:val="E37230"/>
              </w:rPr>
            </w:pPr>
            <w:r w:rsidRPr="00FE5645">
              <w:rPr>
                <w:rFonts w:cs="CubeOT"/>
                <w:bCs/>
                <w:color w:val="517740" w:themeColor="accent2"/>
              </w:rPr>
              <w:t>Education</w:t>
            </w:r>
          </w:p>
        </w:tc>
        <w:tc>
          <w:tcPr>
            <w:tcW w:w="4254" w:type="pct"/>
            <w:gridSpan w:val="3"/>
          </w:tcPr>
          <w:p w14:paraId="0E6593E5" w14:textId="575E0ADD" w:rsidR="0032171F" w:rsidRPr="0032171F" w:rsidRDefault="0032171F" w:rsidP="0032171F">
            <w:pPr>
              <w:tabs>
                <w:tab w:val="left" w:pos="3180"/>
              </w:tabs>
              <w:ind w:right="112"/>
              <w:rPr>
                <w:color w:val="666666" w:themeColor="text1" w:themeTint="99"/>
                <w:sz w:val="20"/>
                <w:szCs w:val="18"/>
              </w:rPr>
            </w:pPr>
            <w:r w:rsidRPr="0032171F">
              <w:rPr>
                <w:color w:val="666666" w:themeColor="text1" w:themeTint="99"/>
                <w:sz w:val="20"/>
                <w:szCs w:val="18"/>
              </w:rPr>
              <w:t xml:space="preserve">2012 - 2013 </w:t>
            </w:r>
            <w:r w:rsidRPr="0032171F">
              <w:rPr>
                <w:b/>
                <w:bCs/>
                <w:sz w:val="20"/>
                <w:szCs w:val="18"/>
              </w:rPr>
              <w:t>MSc Anthropology, Environment and Development (Distinction)</w:t>
            </w:r>
            <w:r w:rsidRPr="0032171F">
              <w:rPr>
                <w:color w:val="666666" w:themeColor="text1" w:themeTint="99"/>
                <w:sz w:val="20"/>
                <w:szCs w:val="18"/>
              </w:rPr>
              <w:t>, University College London</w:t>
            </w:r>
          </w:p>
          <w:p w14:paraId="68FB8C05" w14:textId="720DC4CC" w:rsidR="00B60E3E" w:rsidRPr="00FE5645" w:rsidRDefault="0032171F" w:rsidP="0032171F">
            <w:pPr>
              <w:tabs>
                <w:tab w:val="left" w:pos="3180"/>
              </w:tabs>
              <w:ind w:right="112"/>
              <w:rPr>
                <w:sz w:val="20"/>
                <w:szCs w:val="18"/>
              </w:rPr>
            </w:pPr>
            <w:r w:rsidRPr="0032171F">
              <w:rPr>
                <w:color w:val="666666" w:themeColor="text1" w:themeTint="99"/>
                <w:sz w:val="20"/>
                <w:szCs w:val="18"/>
              </w:rPr>
              <w:t xml:space="preserve">2004 </w:t>
            </w:r>
            <w:r>
              <w:rPr>
                <w:color w:val="666666" w:themeColor="text1" w:themeTint="99"/>
                <w:sz w:val="20"/>
                <w:szCs w:val="18"/>
              </w:rPr>
              <w:t>–</w:t>
            </w:r>
            <w:r w:rsidRPr="0032171F">
              <w:rPr>
                <w:color w:val="666666" w:themeColor="text1" w:themeTint="99"/>
                <w:sz w:val="20"/>
                <w:szCs w:val="18"/>
              </w:rPr>
              <w:t xml:space="preserve"> 2007</w:t>
            </w:r>
            <w:r>
              <w:rPr>
                <w:color w:val="666666" w:themeColor="text1" w:themeTint="99"/>
                <w:sz w:val="20"/>
                <w:szCs w:val="18"/>
              </w:rPr>
              <w:t xml:space="preserve"> </w:t>
            </w:r>
            <w:r w:rsidRPr="0032171F">
              <w:rPr>
                <w:b/>
                <w:bCs/>
                <w:sz w:val="20"/>
                <w:szCs w:val="18"/>
              </w:rPr>
              <w:t>BSc Hons Archaeology (First Class)</w:t>
            </w:r>
            <w:r w:rsidRPr="0032171F">
              <w:rPr>
                <w:color w:val="666666" w:themeColor="text1" w:themeTint="99"/>
                <w:sz w:val="20"/>
                <w:szCs w:val="18"/>
              </w:rPr>
              <w:t>, Cardiff University</w:t>
            </w:r>
          </w:p>
        </w:tc>
      </w:tr>
      <w:tr w:rsidR="00B60E3E" w:rsidRPr="00CE3ABA" w14:paraId="0BB04F15" w14:textId="77777777" w:rsidTr="005F5EB5">
        <w:trPr>
          <w:tblCellSpacing w:w="14" w:type="dxa"/>
        </w:trPr>
        <w:tc>
          <w:tcPr>
            <w:tcW w:w="706" w:type="pct"/>
          </w:tcPr>
          <w:p w14:paraId="0FEAEEB1" w14:textId="77777777" w:rsidR="00B60E3E" w:rsidRPr="00FE5645" w:rsidRDefault="00B60E3E" w:rsidP="005F5EB5">
            <w:pPr>
              <w:spacing w:line="276" w:lineRule="auto"/>
              <w:ind w:right="112"/>
              <w:jc w:val="both"/>
              <w:rPr>
                <w:rFonts w:cs="CubeOT"/>
                <w:bCs/>
                <w:color w:val="C3D5BC" w:themeColor="accent3"/>
              </w:rPr>
            </w:pPr>
            <w:r w:rsidRPr="00FE5645">
              <w:rPr>
                <w:rFonts w:cs="CubeOT"/>
                <w:bCs/>
                <w:color w:val="517740" w:themeColor="accent2"/>
              </w:rPr>
              <w:t>Employment</w:t>
            </w:r>
          </w:p>
        </w:tc>
        <w:tc>
          <w:tcPr>
            <w:tcW w:w="4254" w:type="pct"/>
            <w:gridSpan w:val="3"/>
          </w:tcPr>
          <w:p w14:paraId="5435982A" w14:textId="79192224" w:rsidR="0032171F" w:rsidRPr="0032171F" w:rsidRDefault="0032171F" w:rsidP="0032171F">
            <w:pPr>
              <w:tabs>
                <w:tab w:val="left" w:pos="3180"/>
              </w:tabs>
              <w:ind w:right="112"/>
              <w:rPr>
                <w:b/>
                <w:bCs/>
                <w:color w:val="666666" w:themeColor="text1" w:themeTint="99"/>
                <w:sz w:val="20"/>
                <w:szCs w:val="18"/>
              </w:rPr>
            </w:pPr>
            <w:r w:rsidRPr="0032171F">
              <w:rPr>
                <w:color w:val="666666" w:themeColor="text1" w:themeTint="99"/>
                <w:sz w:val="20"/>
                <w:szCs w:val="18"/>
              </w:rPr>
              <w:t>2016 - Present</w:t>
            </w:r>
            <w:r w:rsidRPr="0032171F">
              <w:rPr>
                <w:b/>
                <w:bCs/>
                <w:color w:val="666666" w:themeColor="text1" w:themeTint="99"/>
                <w:sz w:val="20"/>
                <w:szCs w:val="18"/>
              </w:rPr>
              <w:t xml:space="preserve"> </w:t>
            </w:r>
            <w:r w:rsidRPr="0032171F">
              <w:rPr>
                <w:b/>
                <w:bCs/>
                <w:sz w:val="20"/>
                <w:szCs w:val="18"/>
              </w:rPr>
              <w:t>Senior Consultant</w:t>
            </w:r>
            <w:r w:rsidRPr="0032171F">
              <w:rPr>
                <w:color w:val="666666" w:themeColor="text1" w:themeTint="99"/>
                <w:sz w:val="20"/>
                <w:szCs w:val="18"/>
              </w:rPr>
              <w:t>, Itad, UK</w:t>
            </w:r>
          </w:p>
          <w:p w14:paraId="271B530F" w14:textId="18CB49E8" w:rsidR="0032171F" w:rsidRPr="0032171F" w:rsidRDefault="0032171F" w:rsidP="0032171F">
            <w:pPr>
              <w:tabs>
                <w:tab w:val="left" w:pos="3180"/>
              </w:tabs>
              <w:ind w:right="112"/>
              <w:rPr>
                <w:b/>
                <w:bCs/>
                <w:color w:val="666666" w:themeColor="text1" w:themeTint="99"/>
                <w:sz w:val="20"/>
                <w:szCs w:val="18"/>
              </w:rPr>
            </w:pPr>
            <w:r w:rsidRPr="0032171F">
              <w:rPr>
                <w:color w:val="666666" w:themeColor="text1" w:themeTint="99"/>
                <w:sz w:val="20"/>
                <w:szCs w:val="18"/>
              </w:rPr>
              <w:t>2015 - 2016</w:t>
            </w:r>
            <w:r w:rsidRPr="0032171F">
              <w:rPr>
                <w:b/>
                <w:bCs/>
                <w:color w:val="666666" w:themeColor="text1" w:themeTint="99"/>
                <w:sz w:val="20"/>
                <w:szCs w:val="18"/>
              </w:rPr>
              <w:t xml:space="preserve"> </w:t>
            </w:r>
            <w:r w:rsidRPr="0032171F">
              <w:rPr>
                <w:b/>
                <w:bCs/>
                <w:sz w:val="20"/>
                <w:szCs w:val="18"/>
              </w:rPr>
              <w:t>Independent Consultant</w:t>
            </w:r>
          </w:p>
          <w:p w14:paraId="5E4E2B15" w14:textId="6C68260A" w:rsidR="0032171F" w:rsidRPr="0032171F" w:rsidRDefault="0032171F" w:rsidP="0032171F">
            <w:pPr>
              <w:tabs>
                <w:tab w:val="left" w:pos="3180"/>
              </w:tabs>
              <w:ind w:right="112"/>
              <w:rPr>
                <w:color w:val="666666" w:themeColor="text1" w:themeTint="99"/>
                <w:sz w:val="20"/>
                <w:szCs w:val="18"/>
              </w:rPr>
            </w:pPr>
            <w:r w:rsidRPr="0032171F">
              <w:rPr>
                <w:color w:val="666666" w:themeColor="text1" w:themeTint="99"/>
                <w:sz w:val="20"/>
                <w:szCs w:val="18"/>
              </w:rPr>
              <w:t>2013 - 2015</w:t>
            </w:r>
            <w:r w:rsidRPr="0032171F">
              <w:rPr>
                <w:b/>
                <w:bCs/>
                <w:color w:val="666666" w:themeColor="text1" w:themeTint="99"/>
                <w:sz w:val="20"/>
                <w:szCs w:val="18"/>
              </w:rPr>
              <w:t xml:space="preserve"> </w:t>
            </w:r>
            <w:r w:rsidRPr="0032171F">
              <w:rPr>
                <w:b/>
                <w:bCs/>
                <w:sz w:val="20"/>
                <w:szCs w:val="18"/>
              </w:rPr>
              <w:t>Visiting Researcher</w:t>
            </w:r>
            <w:r w:rsidRPr="0032171F">
              <w:rPr>
                <w:b/>
                <w:bCs/>
                <w:color w:val="666666" w:themeColor="text1" w:themeTint="99"/>
                <w:sz w:val="20"/>
                <w:szCs w:val="18"/>
              </w:rPr>
              <w:t xml:space="preserve">, </w:t>
            </w:r>
            <w:r w:rsidRPr="0032171F">
              <w:rPr>
                <w:color w:val="666666" w:themeColor="text1" w:themeTint="99"/>
                <w:sz w:val="20"/>
                <w:szCs w:val="18"/>
              </w:rPr>
              <w:t>International Centre for Climate Change and Development, Bangladesh</w:t>
            </w:r>
          </w:p>
          <w:p w14:paraId="77D7AD27" w14:textId="5586C5C6" w:rsidR="0032171F" w:rsidRPr="0032171F" w:rsidRDefault="0032171F" w:rsidP="0032171F">
            <w:pPr>
              <w:tabs>
                <w:tab w:val="left" w:pos="3180"/>
              </w:tabs>
              <w:ind w:right="112"/>
              <w:rPr>
                <w:b/>
                <w:bCs/>
                <w:color w:val="666666" w:themeColor="text1" w:themeTint="99"/>
                <w:sz w:val="20"/>
                <w:szCs w:val="18"/>
              </w:rPr>
            </w:pPr>
            <w:r w:rsidRPr="00276C7C">
              <w:rPr>
                <w:color w:val="666666" w:themeColor="text1" w:themeTint="99"/>
                <w:sz w:val="20"/>
                <w:szCs w:val="18"/>
              </w:rPr>
              <w:t>2013</w:t>
            </w:r>
            <w:r w:rsidRPr="0032171F">
              <w:rPr>
                <w:b/>
                <w:bCs/>
                <w:color w:val="666666" w:themeColor="text1" w:themeTint="99"/>
                <w:sz w:val="20"/>
                <w:szCs w:val="18"/>
              </w:rPr>
              <w:t xml:space="preserve"> </w:t>
            </w:r>
            <w:r w:rsidRPr="00276C7C">
              <w:rPr>
                <w:b/>
                <w:bCs/>
                <w:sz w:val="20"/>
                <w:szCs w:val="18"/>
              </w:rPr>
              <w:t>Research Internship</w:t>
            </w:r>
            <w:r w:rsidRPr="00276C7C">
              <w:rPr>
                <w:color w:val="666666" w:themeColor="text1" w:themeTint="99"/>
                <w:sz w:val="20"/>
                <w:szCs w:val="18"/>
              </w:rPr>
              <w:t>, IIED, UK</w:t>
            </w:r>
          </w:p>
          <w:p w14:paraId="281A99EB" w14:textId="2E5E0EFA" w:rsidR="0032171F" w:rsidRPr="0032171F" w:rsidRDefault="0032171F" w:rsidP="0032171F">
            <w:pPr>
              <w:tabs>
                <w:tab w:val="left" w:pos="3180"/>
              </w:tabs>
              <w:ind w:right="112"/>
              <w:rPr>
                <w:b/>
                <w:bCs/>
                <w:color w:val="666666" w:themeColor="text1" w:themeTint="99"/>
                <w:sz w:val="20"/>
                <w:szCs w:val="18"/>
              </w:rPr>
            </w:pPr>
            <w:r w:rsidRPr="00276C7C">
              <w:rPr>
                <w:color w:val="666666" w:themeColor="text1" w:themeTint="99"/>
                <w:sz w:val="20"/>
                <w:szCs w:val="18"/>
              </w:rPr>
              <w:t>2012</w:t>
            </w:r>
            <w:r w:rsidRPr="0032171F">
              <w:rPr>
                <w:b/>
                <w:bCs/>
                <w:color w:val="666666" w:themeColor="text1" w:themeTint="99"/>
                <w:sz w:val="20"/>
                <w:szCs w:val="18"/>
              </w:rPr>
              <w:t xml:space="preserve"> </w:t>
            </w:r>
            <w:r w:rsidRPr="00276C7C">
              <w:rPr>
                <w:b/>
                <w:bCs/>
                <w:sz w:val="20"/>
                <w:szCs w:val="18"/>
              </w:rPr>
              <w:t>Research Internship</w:t>
            </w:r>
            <w:r w:rsidRPr="00276C7C">
              <w:rPr>
                <w:color w:val="666666" w:themeColor="text1" w:themeTint="99"/>
                <w:sz w:val="20"/>
                <w:szCs w:val="18"/>
              </w:rPr>
              <w:t>, KOMAZA, Kenya</w:t>
            </w:r>
          </w:p>
          <w:p w14:paraId="5C10CDB4" w14:textId="697162B0" w:rsidR="00B60E3E" w:rsidRPr="00FE5645" w:rsidRDefault="0032171F" w:rsidP="0032171F">
            <w:pPr>
              <w:tabs>
                <w:tab w:val="left" w:pos="3180"/>
              </w:tabs>
              <w:ind w:right="112"/>
              <w:rPr>
                <w:sz w:val="20"/>
                <w:szCs w:val="18"/>
              </w:rPr>
            </w:pPr>
            <w:r w:rsidRPr="00276C7C">
              <w:rPr>
                <w:color w:val="666666" w:themeColor="text1" w:themeTint="99"/>
                <w:sz w:val="20"/>
                <w:szCs w:val="18"/>
              </w:rPr>
              <w:t>2012</w:t>
            </w:r>
            <w:r w:rsidRPr="0032171F">
              <w:rPr>
                <w:b/>
                <w:bCs/>
                <w:color w:val="666666" w:themeColor="text1" w:themeTint="99"/>
                <w:sz w:val="20"/>
                <w:szCs w:val="18"/>
              </w:rPr>
              <w:t xml:space="preserve"> </w:t>
            </w:r>
            <w:r w:rsidRPr="00276C7C">
              <w:rPr>
                <w:b/>
                <w:bCs/>
                <w:sz w:val="20"/>
                <w:szCs w:val="18"/>
              </w:rPr>
              <w:t>Research Placement</w:t>
            </w:r>
            <w:r w:rsidRPr="00276C7C">
              <w:rPr>
                <w:color w:val="666666" w:themeColor="text1" w:themeTint="99"/>
                <w:sz w:val="20"/>
                <w:szCs w:val="18"/>
              </w:rPr>
              <w:t>, International Council of Environmental Law, Germany</w:t>
            </w:r>
          </w:p>
        </w:tc>
      </w:tr>
      <w:tr w:rsidR="0032171F" w:rsidRPr="00CE3ABA" w14:paraId="21B34982" w14:textId="77777777" w:rsidTr="005F5EB5">
        <w:trPr>
          <w:tblCellSpacing w:w="14" w:type="dxa"/>
        </w:trPr>
        <w:tc>
          <w:tcPr>
            <w:tcW w:w="706" w:type="pct"/>
          </w:tcPr>
          <w:p w14:paraId="35F5FA67" w14:textId="77777777" w:rsidR="0032171F" w:rsidRPr="00FE5645" w:rsidRDefault="0032171F" w:rsidP="005F5EB5">
            <w:pPr>
              <w:spacing w:line="276" w:lineRule="auto"/>
              <w:ind w:right="112"/>
              <w:jc w:val="both"/>
              <w:rPr>
                <w:rFonts w:cs="CubeOT"/>
                <w:bCs/>
                <w:color w:val="517740" w:themeColor="accent2"/>
              </w:rPr>
            </w:pPr>
          </w:p>
        </w:tc>
        <w:tc>
          <w:tcPr>
            <w:tcW w:w="4254" w:type="pct"/>
            <w:gridSpan w:val="3"/>
          </w:tcPr>
          <w:p w14:paraId="3D9B7643" w14:textId="77777777" w:rsidR="00276C7C" w:rsidRDefault="00276C7C" w:rsidP="0032171F">
            <w:pPr>
              <w:tabs>
                <w:tab w:val="left" w:pos="3180"/>
              </w:tabs>
              <w:ind w:right="112"/>
              <w:rPr>
                <w:color w:val="666666" w:themeColor="text1" w:themeTint="99"/>
                <w:sz w:val="20"/>
                <w:szCs w:val="18"/>
              </w:rPr>
            </w:pPr>
            <w:r>
              <w:rPr>
                <w:color w:val="666666" w:themeColor="text1" w:themeTint="99"/>
                <w:sz w:val="20"/>
                <w:szCs w:val="18"/>
              </w:rPr>
              <w:t xml:space="preserve">2011 – 2012 </w:t>
            </w:r>
            <w:r w:rsidRPr="00276C7C">
              <w:rPr>
                <w:b/>
                <w:bCs/>
                <w:sz w:val="20"/>
                <w:szCs w:val="18"/>
              </w:rPr>
              <w:t>Senior Administrator</w:t>
            </w:r>
            <w:r>
              <w:rPr>
                <w:color w:val="666666" w:themeColor="text1" w:themeTint="99"/>
                <w:sz w:val="20"/>
                <w:szCs w:val="18"/>
              </w:rPr>
              <w:t>, Foster + Partners, UK</w:t>
            </w:r>
          </w:p>
          <w:p w14:paraId="20AC4042" w14:textId="77777777" w:rsidR="00276C7C" w:rsidRDefault="00276C7C" w:rsidP="0032171F">
            <w:pPr>
              <w:tabs>
                <w:tab w:val="left" w:pos="3180"/>
              </w:tabs>
              <w:ind w:right="112"/>
              <w:rPr>
                <w:color w:val="7F7F7F" w:themeColor="text1" w:themeTint="80"/>
                <w:sz w:val="20"/>
                <w:szCs w:val="18"/>
              </w:rPr>
            </w:pPr>
            <w:r>
              <w:rPr>
                <w:color w:val="666666" w:themeColor="text1" w:themeTint="99"/>
                <w:sz w:val="20"/>
                <w:szCs w:val="18"/>
              </w:rPr>
              <w:t xml:space="preserve">2009 – 2010 </w:t>
            </w:r>
            <w:r w:rsidR="00EC16BD" w:rsidRPr="00EC16BD">
              <w:rPr>
                <w:b/>
                <w:bCs/>
                <w:sz w:val="20"/>
                <w:szCs w:val="18"/>
              </w:rPr>
              <w:t>English Teacher</w:t>
            </w:r>
            <w:r w:rsidR="00EC16BD">
              <w:rPr>
                <w:b/>
                <w:bCs/>
                <w:sz w:val="20"/>
                <w:szCs w:val="18"/>
              </w:rPr>
              <w:t xml:space="preserve">, </w:t>
            </w:r>
            <w:r w:rsidR="00EC16BD" w:rsidRPr="00EC16BD">
              <w:rPr>
                <w:color w:val="7F7F7F" w:themeColor="text1" w:themeTint="80"/>
                <w:sz w:val="20"/>
                <w:szCs w:val="18"/>
              </w:rPr>
              <w:t>KMG Academy, South Korea</w:t>
            </w:r>
          </w:p>
          <w:p w14:paraId="389405E7" w14:textId="00409A3C" w:rsidR="00EC16BD" w:rsidRPr="00EC16BD" w:rsidRDefault="00EC16BD" w:rsidP="0032171F">
            <w:pPr>
              <w:tabs>
                <w:tab w:val="left" w:pos="3180"/>
              </w:tabs>
              <w:ind w:right="112"/>
              <w:rPr>
                <w:color w:val="666666" w:themeColor="text1" w:themeTint="99"/>
                <w:sz w:val="20"/>
                <w:szCs w:val="18"/>
              </w:rPr>
            </w:pPr>
            <w:r>
              <w:rPr>
                <w:color w:val="7F7F7F" w:themeColor="text1" w:themeTint="80"/>
                <w:sz w:val="20"/>
                <w:szCs w:val="18"/>
              </w:rPr>
              <w:t xml:space="preserve">2007 – 2009 </w:t>
            </w:r>
            <w:r w:rsidRPr="00EC16BD">
              <w:rPr>
                <w:b/>
                <w:bCs/>
                <w:color w:val="000000" w:themeColor="text1"/>
                <w:sz w:val="20"/>
                <w:szCs w:val="18"/>
              </w:rPr>
              <w:t>Archaeologist</w:t>
            </w:r>
            <w:r>
              <w:rPr>
                <w:color w:val="7F7F7F" w:themeColor="text1" w:themeTint="80"/>
                <w:sz w:val="20"/>
                <w:szCs w:val="18"/>
              </w:rPr>
              <w:t>, Freelance, UK</w:t>
            </w:r>
          </w:p>
        </w:tc>
      </w:tr>
    </w:tbl>
    <w:p w14:paraId="05D68032" w14:textId="77777777" w:rsidR="00B60E3E" w:rsidRDefault="00B60E3E" w:rsidP="00B60E3E">
      <w:pPr>
        <w:spacing w:after="40" w:line="276" w:lineRule="auto"/>
        <w:rPr>
          <w:rFonts w:cstheme="minorHAnsi"/>
          <w:sz w:val="4"/>
          <w:szCs w:val="4"/>
        </w:rPr>
      </w:pPr>
    </w:p>
    <w:p w14:paraId="1100AE0C" w14:textId="77777777" w:rsidR="00B60E3E" w:rsidRPr="001D4C02" w:rsidRDefault="00B60E3E" w:rsidP="00B60E3E">
      <w:pPr>
        <w:spacing w:after="40" w:line="276" w:lineRule="auto"/>
        <w:rPr>
          <w:rFonts w:cstheme="minorHAnsi"/>
          <w:sz w:val="4"/>
          <w:szCs w:val="4"/>
        </w:rPr>
      </w:pPr>
    </w:p>
    <w:p w14:paraId="6221B875" w14:textId="77777777" w:rsidR="00B60E3E" w:rsidRPr="00D65826" w:rsidRDefault="00B60E3E" w:rsidP="00B60E3E">
      <w:pPr>
        <w:pBdr>
          <w:bottom w:val="single" w:sz="4" w:space="1" w:color="D9D9D9" w:themeColor="background1" w:themeShade="D9"/>
        </w:pBdr>
        <w:spacing w:line="276" w:lineRule="auto"/>
        <w:ind w:right="112"/>
        <w:rPr>
          <w:rFonts w:cs="CubeOT"/>
          <w:b/>
          <w:bCs/>
          <w:color w:val="517740" w:themeColor="accent2"/>
        </w:rPr>
      </w:pPr>
      <w:r w:rsidRPr="00D65826">
        <w:rPr>
          <w:rFonts w:cs="CubeOT"/>
          <w:bCs/>
          <w:color w:val="517740" w:themeColor="accent2"/>
        </w:rPr>
        <w:t>Project experience</w:t>
      </w:r>
      <w:r w:rsidRPr="00D65826">
        <w:rPr>
          <w:noProof/>
        </w:rPr>
        <w:t xml:space="preserve"> </w:t>
      </w:r>
    </w:p>
    <w:tbl>
      <w:tblPr>
        <w:tblpPr w:leftFromText="180" w:rightFromText="180" w:vertAnchor="text" w:tblpX="19" w:tblpY="1"/>
        <w:tblOverlap w:val="never"/>
        <w:tblW w:w="5000" w:type="pct"/>
        <w:tblCellSpacing w:w="14" w:type="dxa"/>
        <w:tblCellMar>
          <w:top w:w="15" w:type="dxa"/>
          <w:left w:w="15" w:type="dxa"/>
          <w:bottom w:w="15" w:type="dxa"/>
          <w:right w:w="15" w:type="dxa"/>
        </w:tblCellMar>
        <w:tblLook w:val="04A0" w:firstRow="1" w:lastRow="0" w:firstColumn="1" w:lastColumn="0" w:noHBand="0" w:noVBand="1"/>
      </w:tblPr>
      <w:tblGrid>
        <w:gridCol w:w="1412"/>
        <w:gridCol w:w="9049"/>
      </w:tblGrid>
      <w:tr w:rsidR="00B60E3E" w:rsidRPr="001D4C02" w14:paraId="78E5AF5D" w14:textId="77777777" w:rsidTr="005F5EB5">
        <w:trPr>
          <w:trHeight w:val="237"/>
          <w:tblCellSpacing w:w="14" w:type="dxa"/>
        </w:trPr>
        <w:tc>
          <w:tcPr>
            <w:tcW w:w="655" w:type="pct"/>
          </w:tcPr>
          <w:p w14:paraId="007E524A" w14:textId="4BCA43A2" w:rsidR="009C451B" w:rsidRDefault="009C451B" w:rsidP="005F5EB5">
            <w:pPr>
              <w:spacing w:line="276" w:lineRule="auto"/>
              <w:rPr>
                <w:b/>
                <w:bCs/>
                <w:color w:val="666666" w:themeColor="text1" w:themeTint="99"/>
                <w:sz w:val="20"/>
                <w:szCs w:val="20"/>
              </w:rPr>
            </w:pPr>
            <w:r>
              <w:rPr>
                <w:b/>
                <w:bCs/>
                <w:color w:val="666666" w:themeColor="text1" w:themeTint="99"/>
                <w:sz w:val="20"/>
                <w:szCs w:val="20"/>
              </w:rPr>
              <w:t>2024 - Present</w:t>
            </w:r>
          </w:p>
          <w:p w14:paraId="53FBFE0B" w14:textId="77777777" w:rsidR="00A214EE" w:rsidRDefault="00A214EE" w:rsidP="005F5EB5">
            <w:pPr>
              <w:spacing w:line="276" w:lineRule="auto"/>
              <w:rPr>
                <w:b/>
                <w:bCs/>
                <w:color w:val="666666" w:themeColor="text1" w:themeTint="99"/>
                <w:sz w:val="20"/>
                <w:szCs w:val="20"/>
              </w:rPr>
            </w:pPr>
          </w:p>
          <w:p w14:paraId="16BF10FB" w14:textId="77777777" w:rsidR="00A214EE" w:rsidRDefault="00A214EE" w:rsidP="005F5EB5">
            <w:pPr>
              <w:spacing w:line="276" w:lineRule="auto"/>
              <w:rPr>
                <w:b/>
                <w:bCs/>
                <w:color w:val="666666" w:themeColor="text1" w:themeTint="99"/>
                <w:sz w:val="20"/>
                <w:szCs w:val="20"/>
              </w:rPr>
            </w:pPr>
          </w:p>
          <w:p w14:paraId="52512056" w14:textId="77777777" w:rsidR="00A214EE" w:rsidRDefault="00A214EE" w:rsidP="005F5EB5">
            <w:pPr>
              <w:spacing w:line="276" w:lineRule="auto"/>
              <w:rPr>
                <w:b/>
                <w:bCs/>
                <w:color w:val="666666" w:themeColor="text1" w:themeTint="99"/>
                <w:sz w:val="20"/>
                <w:szCs w:val="20"/>
              </w:rPr>
            </w:pPr>
          </w:p>
          <w:p w14:paraId="2E8CE07D" w14:textId="77777777" w:rsidR="00A214EE" w:rsidRDefault="00A214EE" w:rsidP="005F5EB5">
            <w:pPr>
              <w:spacing w:line="276" w:lineRule="auto"/>
              <w:rPr>
                <w:b/>
                <w:bCs/>
                <w:color w:val="666666" w:themeColor="text1" w:themeTint="99"/>
                <w:sz w:val="20"/>
                <w:szCs w:val="20"/>
              </w:rPr>
            </w:pPr>
          </w:p>
          <w:p w14:paraId="512586E4" w14:textId="77777777" w:rsidR="00A214EE" w:rsidRDefault="00A214EE" w:rsidP="005F5EB5">
            <w:pPr>
              <w:spacing w:line="276" w:lineRule="auto"/>
              <w:rPr>
                <w:b/>
                <w:bCs/>
                <w:color w:val="666666" w:themeColor="text1" w:themeTint="99"/>
                <w:sz w:val="20"/>
                <w:szCs w:val="20"/>
              </w:rPr>
            </w:pPr>
          </w:p>
          <w:p w14:paraId="6BC04E52" w14:textId="6D8CE476" w:rsidR="00B60E3E" w:rsidRPr="001D4C02" w:rsidRDefault="00EC16BD" w:rsidP="005F5EB5">
            <w:pPr>
              <w:spacing w:line="276" w:lineRule="auto"/>
              <w:rPr>
                <w:b/>
                <w:color w:val="666666" w:themeColor="text1" w:themeTint="99"/>
                <w:sz w:val="20"/>
                <w:szCs w:val="20"/>
              </w:rPr>
            </w:pPr>
            <w:r w:rsidRPr="10278D7A">
              <w:rPr>
                <w:b/>
                <w:bCs/>
                <w:color w:val="666666" w:themeColor="text1" w:themeTint="99"/>
                <w:sz w:val="20"/>
                <w:szCs w:val="20"/>
              </w:rPr>
              <w:t>20</w:t>
            </w:r>
            <w:r>
              <w:rPr>
                <w:b/>
                <w:bCs/>
                <w:color w:val="666666" w:themeColor="text1" w:themeTint="99"/>
                <w:sz w:val="20"/>
                <w:szCs w:val="20"/>
              </w:rPr>
              <w:t xml:space="preserve">23 - </w:t>
            </w:r>
            <w:r w:rsidR="009C451B">
              <w:rPr>
                <w:b/>
                <w:bCs/>
                <w:color w:val="666666" w:themeColor="text1" w:themeTint="99"/>
                <w:sz w:val="20"/>
                <w:szCs w:val="20"/>
              </w:rPr>
              <w:t>2024</w:t>
            </w:r>
          </w:p>
        </w:tc>
        <w:tc>
          <w:tcPr>
            <w:tcW w:w="4305" w:type="pct"/>
          </w:tcPr>
          <w:p w14:paraId="3AADAC7B" w14:textId="4AD5F45E" w:rsidR="00DA7D9D" w:rsidRPr="00DA7D9D" w:rsidRDefault="00DA7D9D" w:rsidP="005F5EB5">
            <w:pPr>
              <w:spacing w:line="276" w:lineRule="auto"/>
              <w:ind w:right="112"/>
              <w:jc w:val="both"/>
              <w:rPr>
                <w:i/>
                <w:iCs/>
                <w:sz w:val="20"/>
                <w:szCs w:val="20"/>
              </w:rPr>
            </w:pPr>
            <w:r w:rsidRPr="00DA7D9D">
              <w:rPr>
                <w:b/>
                <w:bCs/>
                <w:sz w:val="20"/>
                <w:szCs w:val="20"/>
              </w:rPr>
              <w:lastRenderedPageBreak/>
              <w:t>Climate and Ocean Adaptation and Sustainable Transition (COAST)</w:t>
            </w:r>
            <w:r>
              <w:rPr>
                <w:b/>
                <w:bCs/>
                <w:sz w:val="20"/>
                <w:szCs w:val="20"/>
              </w:rPr>
              <w:t xml:space="preserve">, (FCDO), </w:t>
            </w:r>
            <w:r w:rsidR="00AB065F">
              <w:rPr>
                <w:i/>
                <w:iCs/>
                <w:sz w:val="20"/>
                <w:szCs w:val="20"/>
              </w:rPr>
              <w:t>Learning Lead.</w:t>
            </w:r>
            <w:r w:rsidR="00AB065F" w:rsidRPr="00AB065F">
              <w:rPr>
                <w:sz w:val="20"/>
                <w:szCs w:val="20"/>
              </w:rPr>
              <w:t xml:space="preserve"> Itad</w:t>
            </w:r>
            <w:r w:rsidR="00A214EE">
              <w:rPr>
                <w:sz w:val="20"/>
                <w:szCs w:val="20"/>
              </w:rPr>
              <w:t>,</w:t>
            </w:r>
            <w:r w:rsidR="00AB065F" w:rsidRPr="00AB065F">
              <w:rPr>
                <w:sz w:val="20"/>
                <w:szCs w:val="20"/>
              </w:rPr>
              <w:t xml:space="preserve"> in partnership with MRAG</w:t>
            </w:r>
            <w:r w:rsidR="00772E22">
              <w:rPr>
                <w:sz w:val="20"/>
                <w:szCs w:val="20"/>
              </w:rPr>
              <w:t xml:space="preserve">, is the MEL supplier for FCDO’s COAST programme under the Blue Planet Fund. Clare is the </w:t>
            </w:r>
            <w:r w:rsidR="00A214EE">
              <w:rPr>
                <w:sz w:val="20"/>
                <w:szCs w:val="20"/>
              </w:rPr>
              <w:t xml:space="preserve">Learning Lead </w:t>
            </w:r>
            <w:r w:rsidR="00772E22">
              <w:rPr>
                <w:sz w:val="20"/>
                <w:szCs w:val="20"/>
              </w:rPr>
              <w:t xml:space="preserve">for the MEL supplier, </w:t>
            </w:r>
            <w:r w:rsidR="00F05A98">
              <w:rPr>
                <w:sz w:val="20"/>
                <w:szCs w:val="20"/>
              </w:rPr>
              <w:t>responsible for designing and facilitating learning within and across the programme, to inform an evidence-based adaptive management approach, and elevate learning to the programme, fund</w:t>
            </w:r>
            <w:r w:rsidR="00A214EE">
              <w:rPr>
                <w:sz w:val="20"/>
                <w:szCs w:val="20"/>
              </w:rPr>
              <w:t xml:space="preserve"> and sector level to allow for critical </w:t>
            </w:r>
            <w:r w:rsidR="00A214EE">
              <w:rPr>
                <w:sz w:val="20"/>
                <w:szCs w:val="20"/>
              </w:rPr>
              <w:lastRenderedPageBreak/>
              <w:t xml:space="preserve">engagement on the latest evidence-based insights in the coastal adaptation </w:t>
            </w:r>
            <w:r w:rsidR="002C1988">
              <w:rPr>
                <w:sz w:val="20"/>
                <w:szCs w:val="20"/>
              </w:rPr>
              <w:t xml:space="preserve">and marine conservation </w:t>
            </w:r>
            <w:r w:rsidR="00A214EE">
              <w:rPr>
                <w:sz w:val="20"/>
                <w:szCs w:val="20"/>
              </w:rPr>
              <w:t>space.</w:t>
            </w:r>
          </w:p>
          <w:p w14:paraId="4B8999FF" w14:textId="065D0C4D" w:rsidR="00B60E3E" w:rsidRPr="008A3E89" w:rsidRDefault="00EC16BD" w:rsidP="005F5EB5">
            <w:pPr>
              <w:spacing w:line="276" w:lineRule="auto"/>
              <w:ind w:right="112"/>
              <w:jc w:val="both"/>
              <w:rPr>
                <w:b/>
                <w:sz w:val="20"/>
                <w:szCs w:val="20"/>
              </w:rPr>
            </w:pPr>
            <w:r w:rsidRPr="006D03FA">
              <w:rPr>
                <w:b/>
                <w:bCs/>
                <w:sz w:val="20"/>
                <w:szCs w:val="20"/>
              </w:rPr>
              <w:t>Tracking Multilateral Renewable Energy System (RES</w:t>
            </w:r>
            <w:r>
              <w:rPr>
                <w:b/>
                <w:bCs/>
                <w:sz w:val="20"/>
                <w:szCs w:val="20"/>
              </w:rPr>
              <w:t>)</w:t>
            </w:r>
            <w:r w:rsidRPr="00152976">
              <w:rPr>
                <w:b/>
                <w:bCs/>
                <w:sz w:val="20"/>
                <w:szCs w:val="20"/>
              </w:rPr>
              <w:t>, (</w:t>
            </w:r>
            <w:r w:rsidRPr="00DA5ECA">
              <w:rPr>
                <w:b/>
                <w:bCs/>
                <w:sz w:val="20"/>
                <w:szCs w:val="20"/>
              </w:rPr>
              <w:t>European Climate Foundation</w:t>
            </w:r>
            <w:r w:rsidRPr="00152976">
              <w:rPr>
                <w:b/>
                <w:bCs/>
                <w:sz w:val="20"/>
                <w:szCs w:val="20"/>
              </w:rPr>
              <w:t>)</w:t>
            </w:r>
            <w:r>
              <w:rPr>
                <w:b/>
                <w:bCs/>
                <w:sz w:val="20"/>
                <w:szCs w:val="20"/>
              </w:rPr>
              <w:t xml:space="preserve">, </w:t>
            </w:r>
            <w:r>
              <w:rPr>
                <w:i/>
                <w:iCs/>
                <w:sz w:val="20"/>
                <w:szCs w:val="20"/>
              </w:rPr>
              <w:t>Senior Analyst</w:t>
            </w:r>
            <w:r w:rsidRPr="00152976">
              <w:rPr>
                <w:b/>
                <w:bCs/>
                <w:color w:val="666666" w:themeColor="text1" w:themeTint="99"/>
                <w:sz w:val="20"/>
                <w:szCs w:val="20"/>
              </w:rPr>
              <w:t xml:space="preserve">. </w:t>
            </w:r>
            <w:r w:rsidRPr="00D844E2">
              <w:rPr>
                <w:sz w:val="20"/>
                <w:szCs w:val="20"/>
              </w:rPr>
              <w:t xml:space="preserve">ECF have commissioned a tracking of multilateral renewable energy system (RES) initiatives to understand </w:t>
            </w:r>
            <w:r w:rsidRPr="039AAA73">
              <w:rPr>
                <w:sz w:val="20"/>
                <w:szCs w:val="20"/>
              </w:rPr>
              <w:t>progress being made</w:t>
            </w:r>
            <w:r w:rsidRPr="00D844E2">
              <w:rPr>
                <w:sz w:val="20"/>
                <w:szCs w:val="20"/>
              </w:rPr>
              <w:t xml:space="preserve"> towards </w:t>
            </w:r>
            <w:r w:rsidRPr="039AAA73">
              <w:rPr>
                <w:sz w:val="20"/>
                <w:szCs w:val="20"/>
              </w:rPr>
              <w:t>global commitments.</w:t>
            </w:r>
            <w:r>
              <w:rPr>
                <w:sz w:val="20"/>
                <w:szCs w:val="20"/>
              </w:rPr>
              <w:t xml:space="preserve"> </w:t>
            </w:r>
            <w:r w:rsidRPr="00D844E2">
              <w:rPr>
                <w:sz w:val="20"/>
                <w:szCs w:val="20"/>
              </w:rPr>
              <w:t>Itad</w:t>
            </w:r>
            <w:r>
              <w:rPr>
                <w:sz w:val="20"/>
                <w:szCs w:val="20"/>
              </w:rPr>
              <w:t xml:space="preserve"> </w:t>
            </w:r>
            <w:r w:rsidRPr="039AAA73">
              <w:rPr>
                <w:sz w:val="20"/>
                <w:szCs w:val="20"/>
              </w:rPr>
              <w:t>is supporting this work</w:t>
            </w:r>
            <w:r w:rsidRPr="00D844E2">
              <w:rPr>
                <w:sz w:val="20"/>
                <w:szCs w:val="20"/>
              </w:rPr>
              <w:t xml:space="preserve"> by applying a rigorous approach to assessing the quality of evidence available and the status of progress of identified initiatives. </w:t>
            </w:r>
            <w:r>
              <w:rPr>
                <w:sz w:val="20"/>
                <w:szCs w:val="20"/>
              </w:rPr>
              <w:t xml:space="preserve">Findings </w:t>
            </w:r>
            <w:r w:rsidRPr="00D844E2">
              <w:rPr>
                <w:sz w:val="20"/>
                <w:szCs w:val="20"/>
              </w:rPr>
              <w:t xml:space="preserve">of </w:t>
            </w:r>
            <w:r>
              <w:rPr>
                <w:sz w:val="20"/>
                <w:szCs w:val="20"/>
              </w:rPr>
              <w:t>the</w:t>
            </w:r>
            <w:r w:rsidRPr="00D844E2">
              <w:rPr>
                <w:sz w:val="20"/>
                <w:szCs w:val="20"/>
              </w:rPr>
              <w:t xml:space="preserve"> combined analysis </w:t>
            </w:r>
            <w:r>
              <w:rPr>
                <w:sz w:val="20"/>
                <w:szCs w:val="20"/>
              </w:rPr>
              <w:t xml:space="preserve">will be packaged </w:t>
            </w:r>
            <w:r w:rsidRPr="00D844E2">
              <w:rPr>
                <w:sz w:val="20"/>
                <w:szCs w:val="20"/>
              </w:rPr>
              <w:t>and publish</w:t>
            </w:r>
            <w:r>
              <w:rPr>
                <w:sz w:val="20"/>
                <w:szCs w:val="20"/>
              </w:rPr>
              <w:t>ed</w:t>
            </w:r>
            <w:r w:rsidRPr="00D844E2">
              <w:rPr>
                <w:sz w:val="20"/>
                <w:szCs w:val="20"/>
              </w:rPr>
              <w:t xml:space="preserve"> for public access ahead COP 28, delivering outreach and communications of the final product to ECF’s partners, multilaterals and others involved in </w:t>
            </w:r>
            <w:r w:rsidRPr="039AAA73">
              <w:rPr>
                <w:sz w:val="20"/>
                <w:szCs w:val="20"/>
              </w:rPr>
              <w:t>negotiations</w:t>
            </w:r>
            <w:r w:rsidRPr="00D844E2">
              <w:rPr>
                <w:sz w:val="20"/>
                <w:szCs w:val="20"/>
              </w:rPr>
              <w:t xml:space="preserve"> around the renewable energy transition. </w:t>
            </w:r>
            <w:r w:rsidRPr="039AAA73">
              <w:rPr>
                <w:sz w:val="20"/>
                <w:szCs w:val="20"/>
              </w:rPr>
              <w:t xml:space="preserve">Clare is leading the team in delivering this analysis, driving forward </w:t>
            </w:r>
            <w:r w:rsidRPr="1DBAC7FD">
              <w:rPr>
                <w:sz w:val="20"/>
                <w:szCs w:val="20"/>
              </w:rPr>
              <w:t xml:space="preserve">a rapid analysis to produce a succinct and </w:t>
            </w:r>
            <w:r w:rsidRPr="662922B4">
              <w:rPr>
                <w:sz w:val="20"/>
                <w:szCs w:val="20"/>
              </w:rPr>
              <w:t>digestible report ahead of COP28.</w:t>
            </w:r>
          </w:p>
        </w:tc>
      </w:tr>
      <w:tr w:rsidR="00B60E3E" w:rsidRPr="001D4C02" w14:paraId="6ADDE17D" w14:textId="77777777" w:rsidTr="005F5EB5">
        <w:trPr>
          <w:trHeight w:val="237"/>
          <w:tblCellSpacing w:w="14" w:type="dxa"/>
        </w:trPr>
        <w:tc>
          <w:tcPr>
            <w:tcW w:w="655" w:type="pct"/>
          </w:tcPr>
          <w:p w14:paraId="1E8579EC" w14:textId="3AC9F12A" w:rsidR="00B60E3E" w:rsidRPr="001D4C02" w:rsidRDefault="00EC16BD" w:rsidP="005F5EB5">
            <w:pPr>
              <w:spacing w:line="276" w:lineRule="auto"/>
              <w:rPr>
                <w:b/>
                <w:color w:val="666666" w:themeColor="text1" w:themeTint="99"/>
                <w:sz w:val="20"/>
                <w:szCs w:val="20"/>
              </w:rPr>
            </w:pPr>
            <w:r>
              <w:rPr>
                <w:b/>
                <w:color w:val="666666" w:themeColor="text1" w:themeTint="99"/>
                <w:sz w:val="20"/>
                <w:szCs w:val="20"/>
              </w:rPr>
              <w:lastRenderedPageBreak/>
              <w:t>2022 - Present</w:t>
            </w:r>
          </w:p>
        </w:tc>
        <w:tc>
          <w:tcPr>
            <w:tcW w:w="4305" w:type="pct"/>
          </w:tcPr>
          <w:p w14:paraId="01A32562" w14:textId="04A34C74" w:rsidR="00B60E3E" w:rsidRPr="008A3E89" w:rsidRDefault="00EC16BD" w:rsidP="005F5EB5">
            <w:pPr>
              <w:spacing w:line="276" w:lineRule="auto"/>
              <w:ind w:right="112"/>
              <w:jc w:val="both"/>
              <w:rPr>
                <w:b/>
                <w:sz w:val="20"/>
                <w:szCs w:val="20"/>
              </w:rPr>
            </w:pPr>
            <w:r w:rsidRPr="00CF72FB">
              <w:rPr>
                <w:b/>
                <w:bCs/>
                <w:sz w:val="20"/>
                <w:szCs w:val="20"/>
              </w:rPr>
              <w:t>Independent Evaluation of the Biodiverse Landscapes Fund</w:t>
            </w:r>
            <w:r>
              <w:rPr>
                <w:b/>
                <w:bCs/>
                <w:sz w:val="20"/>
                <w:szCs w:val="20"/>
              </w:rPr>
              <w:t xml:space="preserve"> (BLF)</w:t>
            </w:r>
            <w:r w:rsidRPr="00152976">
              <w:rPr>
                <w:b/>
                <w:bCs/>
                <w:sz w:val="20"/>
                <w:szCs w:val="20"/>
              </w:rPr>
              <w:t>, (</w:t>
            </w:r>
            <w:r>
              <w:rPr>
                <w:b/>
                <w:bCs/>
                <w:sz w:val="20"/>
                <w:szCs w:val="20"/>
              </w:rPr>
              <w:t>D</w:t>
            </w:r>
            <w:r w:rsidR="00DA7D9D">
              <w:rPr>
                <w:b/>
                <w:bCs/>
                <w:sz w:val="20"/>
                <w:szCs w:val="20"/>
              </w:rPr>
              <w:t>EFRA</w:t>
            </w:r>
            <w:r w:rsidRPr="00152976">
              <w:rPr>
                <w:b/>
                <w:bCs/>
                <w:sz w:val="20"/>
                <w:szCs w:val="20"/>
              </w:rPr>
              <w:t>)</w:t>
            </w:r>
            <w:r>
              <w:rPr>
                <w:b/>
                <w:bCs/>
                <w:sz w:val="20"/>
                <w:szCs w:val="20"/>
              </w:rPr>
              <w:t xml:space="preserve">, </w:t>
            </w:r>
            <w:r>
              <w:rPr>
                <w:i/>
                <w:iCs/>
                <w:sz w:val="20"/>
                <w:szCs w:val="20"/>
              </w:rPr>
              <w:t>Impact Evaluation Support</w:t>
            </w:r>
            <w:r w:rsidRPr="00152976">
              <w:rPr>
                <w:b/>
                <w:bCs/>
                <w:color w:val="666666" w:themeColor="text1" w:themeTint="99"/>
                <w:sz w:val="20"/>
                <w:szCs w:val="20"/>
              </w:rPr>
              <w:t xml:space="preserve">. </w:t>
            </w:r>
            <w:r w:rsidRPr="00A91100">
              <w:rPr>
                <w:sz w:val="20"/>
                <w:szCs w:val="20"/>
              </w:rPr>
              <w:t xml:space="preserve">In partnership with Oxford Policy Management, </w:t>
            </w:r>
            <w:r>
              <w:rPr>
                <w:sz w:val="20"/>
                <w:szCs w:val="20"/>
              </w:rPr>
              <w:t>Itad</w:t>
            </w:r>
            <w:r w:rsidRPr="00A91100">
              <w:rPr>
                <w:sz w:val="20"/>
                <w:szCs w:val="20"/>
              </w:rPr>
              <w:t xml:space="preserve"> </w:t>
            </w:r>
            <w:r>
              <w:rPr>
                <w:sz w:val="20"/>
                <w:szCs w:val="20"/>
              </w:rPr>
              <w:t>is</w:t>
            </w:r>
            <w:r w:rsidRPr="00A91100">
              <w:rPr>
                <w:sz w:val="20"/>
                <w:szCs w:val="20"/>
              </w:rPr>
              <w:t xml:space="preserve"> conducting an independent evaluation of the BLF.</w:t>
            </w:r>
            <w:r>
              <w:rPr>
                <w:sz w:val="20"/>
                <w:szCs w:val="20"/>
              </w:rPr>
              <w:t xml:space="preserve"> Itad’s</w:t>
            </w:r>
            <w:r w:rsidRPr="00A91100">
              <w:rPr>
                <w:sz w:val="20"/>
                <w:szCs w:val="20"/>
              </w:rPr>
              <w:t xml:space="preserve"> systems-informed evaluation will run parallel to the implementation of the fund until 2029 to assess the impact, processes, and value for money of the BLF at both the programme and landscape levels.</w:t>
            </w:r>
            <w:r>
              <w:rPr>
                <w:sz w:val="20"/>
                <w:szCs w:val="20"/>
              </w:rPr>
              <w:t xml:space="preserve"> </w:t>
            </w:r>
            <w:r w:rsidRPr="662922B4">
              <w:rPr>
                <w:sz w:val="20"/>
                <w:szCs w:val="20"/>
              </w:rPr>
              <w:t>Clare is delivering impact evaluation support to the MEL team, to establish and deliver the MEL system at portfolio and landscape level. Recent activities include developing ICF indicator guidance and establishing the baseline evaluation approach.</w:t>
            </w:r>
          </w:p>
        </w:tc>
      </w:tr>
      <w:tr w:rsidR="00B60E3E" w:rsidRPr="001D4C02" w14:paraId="46C7A03E" w14:textId="77777777" w:rsidTr="005F5EB5">
        <w:trPr>
          <w:trHeight w:val="237"/>
          <w:tblCellSpacing w:w="14" w:type="dxa"/>
        </w:trPr>
        <w:tc>
          <w:tcPr>
            <w:tcW w:w="655" w:type="pct"/>
          </w:tcPr>
          <w:p w14:paraId="5D205DCA" w14:textId="291D5178" w:rsidR="00B60E3E" w:rsidRPr="001D4C02" w:rsidRDefault="00EC16BD" w:rsidP="005F5EB5">
            <w:pPr>
              <w:spacing w:line="276" w:lineRule="auto"/>
              <w:rPr>
                <w:b/>
                <w:color w:val="666666" w:themeColor="text1" w:themeTint="99"/>
                <w:sz w:val="20"/>
                <w:szCs w:val="20"/>
              </w:rPr>
            </w:pPr>
            <w:r>
              <w:rPr>
                <w:b/>
                <w:color w:val="666666" w:themeColor="text1" w:themeTint="99"/>
                <w:sz w:val="20"/>
                <w:szCs w:val="20"/>
              </w:rPr>
              <w:t>2022 - 2023</w:t>
            </w:r>
          </w:p>
        </w:tc>
        <w:tc>
          <w:tcPr>
            <w:tcW w:w="4305" w:type="pct"/>
          </w:tcPr>
          <w:p w14:paraId="3DBAEA9F" w14:textId="62381D1B" w:rsidR="00B60E3E" w:rsidRPr="008A3E89" w:rsidRDefault="00EC16BD" w:rsidP="005F5EB5">
            <w:pPr>
              <w:spacing w:line="276" w:lineRule="auto"/>
              <w:ind w:right="112"/>
              <w:jc w:val="both"/>
              <w:rPr>
                <w:b/>
                <w:sz w:val="20"/>
                <w:szCs w:val="20"/>
              </w:rPr>
            </w:pPr>
            <w:r w:rsidRPr="00897498">
              <w:rPr>
                <w:b/>
                <w:bCs/>
                <w:sz w:val="20"/>
                <w:szCs w:val="20"/>
              </w:rPr>
              <w:t xml:space="preserve">Strategic Global Evaluation of WFP’s </w:t>
            </w:r>
            <w:r w:rsidRPr="00152976">
              <w:rPr>
                <w:b/>
                <w:bCs/>
                <w:sz w:val="20"/>
                <w:szCs w:val="20"/>
              </w:rPr>
              <w:t>Resilience Policy, (WFP)</w:t>
            </w:r>
            <w:r>
              <w:rPr>
                <w:b/>
                <w:bCs/>
                <w:sz w:val="20"/>
                <w:szCs w:val="20"/>
              </w:rPr>
              <w:t xml:space="preserve">, </w:t>
            </w:r>
            <w:r w:rsidRPr="001E10FE">
              <w:rPr>
                <w:i/>
                <w:iCs/>
                <w:sz w:val="20"/>
                <w:szCs w:val="20"/>
              </w:rPr>
              <w:t>Evaluation Expert</w:t>
            </w:r>
            <w:r w:rsidRPr="00152976">
              <w:rPr>
                <w:b/>
                <w:bCs/>
                <w:color w:val="666666" w:themeColor="text1" w:themeTint="99"/>
                <w:sz w:val="20"/>
                <w:szCs w:val="20"/>
              </w:rPr>
              <w:t xml:space="preserve">. </w:t>
            </w:r>
            <w:r w:rsidRPr="00152976">
              <w:rPr>
                <w:sz w:val="20"/>
                <w:szCs w:val="20"/>
              </w:rPr>
              <w:t xml:space="preserve">Clare </w:t>
            </w:r>
            <w:r>
              <w:rPr>
                <w:sz w:val="20"/>
                <w:szCs w:val="20"/>
              </w:rPr>
              <w:t>wa</w:t>
            </w:r>
            <w:r w:rsidRPr="00152976">
              <w:rPr>
                <w:sz w:val="20"/>
                <w:szCs w:val="20"/>
              </w:rPr>
              <w:t xml:space="preserve">s </w:t>
            </w:r>
            <w:r>
              <w:rPr>
                <w:sz w:val="20"/>
                <w:szCs w:val="20"/>
              </w:rPr>
              <w:t>responsible for</w:t>
            </w:r>
            <w:r w:rsidRPr="00152976">
              <w:rPr>
                <w:sz w:val="20"/>
                <w:szCs w:val="20"/>
              </w:rPr>
              <w:t xml:space="preserve"> evaluating the quality, results, and implementation context of WFP’s Policy on Building Resilience for Food Security and Nutrition. She co-led the evaluation design at proposal stage and supported its development through inception phase, including through high level interviews, document review, mapping of policy, programmes and plans, delivery of the evaluability assessment for the evaluation, and scoping of comparable institutions.</w:t>
            </w:r>
            <w:r w:rsidR="00D77C24">
              <w:rPr>
                <w:sz w:val="20"/>
                <w:szCs w:val="20"/>
              </w:rPr>
              <w:t xml:space="preserve"> She delivered desk-based case studies responding to identified evaluation questions, based on the Theory of Change.</w:t>
            </w:r>
          </w:p>
        </w:tc>
      </w:tr>
      <w:tr w:rsidR="00B60E3E" w:rsidRPr="001D4C02" w14:paraId="0915C00B" w14:textId="77777777" w:rsidTr="005F5EB5">
        <w:trPr>
          <w:trHeight w:val="237"/>
          <w:tblCellSpacing w:w="14" w:type="dxa"/>
        </w:trPr>
        <w:tc>
          <w:tcPr>
            <w:tcW w:w="655" w:type="pct"/>
          </w:tcPr>
          <w:p w14:paraId="735B3320" w14:textId="3F5142D5" w:rsidR="00B60E3E" w:rsidRPr="001D4C02" w:rsidRDefault="00EC16BD" w:rsidP="005F5EB5">
            <w:pPr>
              <w:spacing w:line="276" w:lineRule="auto"/>
              <w:rPr>
                <w:b/>
                <w:color w:val="666666" w:themeColor="text1" w:themeTint="99"/>
                <w:sz w:val="20"/>
                <w:szCs w:val="20"/>
              </w:rPr>
            </w:pPr>
            <w:r>
              <w:rPr>
                <w:b/>
                <w:color w:val="666666" w:themeColor="text1" w:themeTint="99"/>
                <w:sz w:val="20"/>
                <w:szCs w:val="20"/>
              </w:rPr>
              <w:t>2021 - 2022</w:t>
            </w:r>
          </w:p>
        </w:tc>
        <w:tc>
          <w:tcPr>
            <w:tcW w:w="4305" w:type="pct"/>
          </w:tcPr>
          <w:p w14:paraId="0CC55335" w14:textId="602EB2BC" w:rsidR="00B60E3E" w:rsidRPr="008A3E89" w:rsidRDefault="00EC16BD" w:rsidP="005F5EB5">
            <w:pPr>
              <w:spacing w:line="276" w:lineRule="auto"/>
              <w:ind w:right="112"/>
              <w:jc w:val="both"/>
              <w:rPr>
                <w:b/>
                <w:sz w:val="20"/>
                <w:szCs w:val="20"/>
              </w:rPr>
            </w:pPr>
            <w:r w:rsidRPr="26876894">
              <w:rPr>
                <w:b/>
                <w:bCs/>
                <w:sz w:val="20"/>
                <w:szCs w:val="20"/>
              </w:rPr>
              <w:t>Formative Evaluation of the Dutch Fund for Climate and Development, (FMO),</w:t>
            </w:r>
            <w:r w:rsidRPr="26876894">
              <w:rPr>
                <w:b/>
                <w:bCs/>
                <w:color w:val="666666" w:themeColor="text1" w:themeTint="99"/>
                <w:sz w:val="20"/>
                <w:szCs w:val="20"/>
              </w:rPr>
              <w:t xml:space="preserve"> </w:t>
            </w:r>
            <w:r w:rsidRPr="26876894">
              <w:rPr>
                <w:i/>
                <w:iCs/>
                <w:sz w:val="20"/>
                <w:szCs w:val="20"/>
              </w:rPr>
              <w:t>Senior Evaluator</w:t>
            </w:r>
            <w:r w:rsidRPr="26876894">
              <w:rPr>
                <w:b/>
                <w:bCs/>
                <w:color w:val="666666" w:themeColor="text1" w:themeTint="99"/>
                <w:sz w:val="20"/>
                <w:szCs w:val="20"/>
              </w:rPr>
              <w:t xml:space="preserve">. </w:t>
            </w:r>
            <w:r w:rsidRPr="26876894">
              <w:rPr>
                <w:sz w:val="20"/>
                <w:szCs w:val="20"/>
              </w:rPr>
              <w:t>As a senior evaluator on this evaluation, Clare co-designed and delivered the evaluation, including delivering landscape-level case studies that explored the fund investments in specific complex and vulnerable landscapes,</w:t>
            </w:r>
            <w:r w:rsidR="00D77C24">
              <w:rPr>
                <w:sz w:val="20"/>
                <w:szCs w:val="20"/>
              </w:rPr>
              <w:t xml:space="preserve"> including Vietnam,</w:t>
            </w:r>
            <w:r w:rsidRPr="26876894">
              <w:rPr>
                <w:sz w:val="20"/>
                <w:szCs w:val="20"/>
              </w:rPr>
              <w:t xml:space="preserve"> researching the landscape, climate, and environmental and social objectives of the fund, and analysing progress towards those objectives. Clare worked closely with FMO, and with the consortium of partners delivering the fund, including WWF-NL, SNV and Climate Fund Managers, to deliver the evaluation findings and co-create recommendations, which the consortium is now actively taking forward.</w:t>
            </w:r>
          </w:p>
        </w:tc>
      </w:tr>
      <w:tr w:rsidR="00B60E3E" w:rsidRPr="001D4C02" w14:paraId="37646E9F" w14:textId="77777777" w:rsidTr="005F5EB5">
        <w:trPr>
          <w:trHeight w:val="237"/>
          <w:tblCellSpacing w:w="14" w:type="dxa"/>
        </w:trPr>
        <w:tc>
          <w:tcPr>
            <w:tcW w:w="655" w:type="pct"/>
          </w:tcPr>
          <w:p w14:paraId="22752AC8" w14:textId="7044B2B0" w:rsidR="00B60E3E" w:rsidRPr="001D4C02" w:rsidRDefault="00EC16BD" w:rsidP="005F5EB5">
            <w:pPr>
              <w:spacing w:line="276" w:lineRule="auto"/>
              <w:rPr>
                <w:b/>
                <w:color w:val="666666" w:themeColor="text1" w:themeTint="99"/>
                <w:sz w:val="20"/>
                <w:szCs w:val="20"/>
              </w:rPr>
            </w:pPr>
            <w:r w:rsidRPr="3182AD8C">
              <w:rPr>
                <w:b/>
                <w:bCs/>
                <w:color w:val="666666" w:themeColor="text1" w:themeTint="99"/>
                <w:sz w:val="20"/>
                <w:szCs w:val="20"/>
              </w:rPr>
              <w:t xml:space="preserve">2019 - </w:t>
            </w:r>
            <w:r w:rsidRPr="662922B4">
              <w:rPr>
                <w:b/>
                <w:bCs/>
                <w:color w:val="666666" w:themeColor="text1" w:themeTint="99"/>
                <w:sz w:val="20"/>
                <w:szCs w:val="20"/>
              </w:rPr>
              <w:t>2020</w:t>
            </w:r>
          </w:p>
        </w:tc>
        <w:tc>
          <w:tcPr>
            <w:tcW w:w="4305" w:type="pct"/>
          </w:tcPr>
          <w:p w14:paraId="03F70AC2" w14:textId="656D43B8" w:rsidR="00B60E3E" w:rsidRPr="008A3E89" w:rsidRDefault="00EC16BD" w:rsidP="005F5EB5">
            <w:pPr>
              <w:spacing w:line="276" w:lineRule="auto"/>
              <w:ind w:right="112"/>
              <w:jc w:val="both"/>
              <w:rPr>
                <w:b/>
                <w:sz w:val="20"/>
                <w:szCs w:val="20"/>
              </w:rPr>
            </w:pPr>
            <w:r w:rsidRPr="3182AD8C">
              <w:rPr>
                <w:b/>
                <w:bCs/>
                <w:sz w:val="20"/>
                <w:szCs w:val="20"/>
              </w:rPr>
              <w:t>Global Resilience Partnership Phase 3 MEL Support</w:t>
            </w:r>
            <w:r w:rsidRPr="3182AD8C">
              <w:rPr>
                <w:sz w:val="20"/>
                <w:szCs w:val="20"/>
              </w:rPr>
              <w:t xml:space="preserve">, </w:t>
            </w:r>
            <w:r w:rsidRPr="00D77C24">
              <w:rPr>
                <w:b/>
                <w:bCs/>
                <w:sz w:val="20"/>
                <w:szCs w:val="20"/>
              </w:rPr>
              <w:t>(</w:t>
            </w:r>
            <w:r w:rsidR="00D77C24" w:rsidRPr="00D77C24">
              <w:rPr>
                <w:b/>
                <w:bCs/>
                <w:sz w:val="20"/>
                <w:szCs w:val="20"/>
              </w:rPr>
              <w:t>KPMG</w:t>
            </w:r>
            <w:r w:rsidRPr="00D77C24">
              <w:rPr>
                <w:b/>
                <w:bCs/>
                <w:sz w:val="20"/>
                <w:szCs w:val="20"/>
              </w:rPr>
              <w:t>, Multi-country)</w:t>
            </w:r>
            <w:r w:rsidR="00D77C24">
              <w:rPr>
                <w:b/>
                <w:bCs/>
                <w:sz w:val="20"/>
                <w:szCs w:val="20"/>
              </w:rPr>
              <w:t>,</w:t>
            </w:r>
            <w:r>
              <w:t xml:space="preserve"> </w:t>
            </w:r>
            <w:r w:rsidRPr="3182AD8C">
              <w:rPr>
                <w:i/>
                <w:iCs/>
                <w:sz w:val="20"/>
                <w:szCs w:val="20"/>
              </w:rPr>
              <w:t>Learning Lead.</w:t>
            </w:r>
            <w:r w:rsidRPr="3182AD8C">
              <w:rPr>
                <w:sz w:val="20"/>
                <w:szCs w:val="20"/>
              </w:rPr>
              <w:t xml:space="preserve"> </w:t>
            </w:r>
            <w:r>
              <w:rPr>
                <w:sz w:val="20"/>
                <w:szCs w:val="20"/>
              </w:rPr>
              <w:t>Itad was</w:t>
            </w:r>
            <w:r w:rsidRPr="3182AD8C">
              <w:rPr>
                <w:sz w:val="20"/>
                <w:szCs w:val="20"/>
              </w:rPr>
              <w:t xml:space="preserve"> re-contracted in 2018 to provide GRP, </w:t>
            </w:r>
            <w:r>
              <w:rPr>
                <w:sz w:val="20"/>
                <w:szCs w:val="20"/>
              </w:rPr>
              <w:t>along with</w:t>
            </w:r>
            <w:r w:rsidRPr="3182AD8C">
              <w:rPr>
                <w:sz w:val="20"/>
                <w:szCs w:val="20"/>
              </w:rPr>
              <w:t xml:space="preserve"> their grantees and partners, with MEL services</w:t>
            </w:r>
            <w:r w:rsidR="00D77C24">
              <w:rPr>
                <w:sz w:val="20"/>
                <w:szCs w:val="20"/>
              </w:rPr>
              <w:t xml:space="preserve">, including </w:t>
            </w:r>
            <w:r>
              <w:rPr>
                <w:sz w:val="20"/>
                <w:szCs w:val="20"/>
              </w:rPr>
              <w:t>the design</w:t>
            </w:r>
            <w:r w:rsidRPr="3182AD8C">
              <w:rPr>
                <w:sz w:val="20"/>
                <w:szCs w:val="20"/>
              </w:rPr>
              <w:t xml:space="preserve"> and </w:t>
            </w:r>
            <w:r>
              <w:rPr>
                <w:sz w:val="20"/>
                <w:szCs w:val="20"/>
              </w:rPr>
              <w:t>delivery of</w:t>
            </w:r>
            <w:r w:rsidRPr="3182AD8C">
              <w:rPr>
                <w:sz w:val="20"/>
                <w:szCs w:val="20"/>
              </w:rPr>
              <w:t xml:space="preserve"> an interactive Management Information System, </w:t>
            </w:r>
            <w:r w:rsidR="00D77C24">
              <w:rPr>
                <w:sz w:val="20"/>
                <w:szCs w:val="20"/>
              </w:rPr>
              <w:t xml:space="preserve">a </w:t>
            </w:r>
            <w:r w:rsidRPr="3182AD8C">
              <w:rPr>
                <w:sz w:val="20"/>
                <w:szCs w:val="20"/>
              </w:rPr>
              <w:t>learning agenda</w:t>
            </w:r>
            <w:r w:rsidR="00D77C24">
              <w:rPr>
                <w:sz w:val="20"/>
                <w:szCs w:val="20"/>
              </w:rPr>
              <w:t xml:space="preserve"> and associated outputs</w:t>
            </w:r>
            <w:r w:rsidRPr="3182AD8C">
              <w:rPr>
                <w:sz w:val="20"/>
                <w:szCs w:val="20"/>
              </w:rPr>
              <w:t>, and an updated version of the GRP MEL Plan reflecting GRP’s 2018 Strategy.</w:t>
            </w:r>
            <w:r w:rsidR="00D77C24">
              <w:rPr>
                <w:sz w:val="20"/>
                <w:szCs w:val="20"/>
              </w:rPr>
              <w:t xml:space="preserve"> Clare led on two strategic case studies exploring i. approaches to climate adaptation and resilience building in humanitarian setting in Kenya; and ii. learning associated with the scaling of innovations by GRP grantees.</w:t>
            </w:r>
          </w:p>
        </w:tc>
      </w:tr>
      <w:tr w:rsidR="00B60E3E" w:rsidRPr="001D4C02" w14:paraId="1FFDC56A" w14:textId="77777777" w:rsidTr="005F5EB5">
        <w:trPr>
          <w:trHeight w:val="237"/>
          <w:tblCellSpacing w:w="14" w:type="dxa"/>
        </w:trPr>
        <w:tc>
          <w:tcPr>
            <w:tcW w:w="655" w:type="pct"/>
          </w:tcPr>
          <w:p w14:paraId="22F4A1CE" w14:textId="74127102" w:rsidR="00B60E3E" w:rsidRPr="001D4C02" w:rsidRDefault="00EC16BD" w:rsidP="005F5EB5">
            <w:pPr>
              <w:spacing w:line="276" w:lineRule="auto"/>
              <w:rPr>
                <w:b/>
                <w:color w:val="666666" w:themeColor="text1" w:themeTint="99"/>
                <w:sz w:val="20"/>
                <w:szCs w:val="20"/>
              </w:rPr>
            </w:pPr>
            <w:r w:rsidRPr="00EE228A">
              <w:rPr>
                <w:b/>
                <w:bCs/>
                <w:color w:val="666666" w:themeColor="text1" w:themeTint="99"/>
                <w:sz w:val="20"/>
                <w:szCs w:val="20"/>
              </w:rPr>
              <w:t>2017</w:t>
            </w:r>
            <w:r>
              <w:rPr>
                <w:b/>
                <w:bCs/>
                <w:color w:val="666666" w:themeColor="text1" w:themeTint="99"/>
                <w:sz w:val="20"/>
                <w:szCs w:val="20"/>
              </w:rPr>
              <w:t xml:space="preserve"> - </w:t>
            </w:r>
            <w:r w:rsidRPr="00EE228A">
              <w:rPr>
                <w:b/>
                <w:bCs/>
                <w:color w:val="666666" w:themeColor="text1" w:themeTint="99"/>
                <w:sz w:val="20"/>
                <w:szCs w:val="20"/>
              </w:rPr>
              <w:t>2019</w:t>
            </w:r>
          </w:p>
        </w:tc>
        <w:tc>
          <w:tcPr>
            <w:tcW w:w="4305" w:type="pct"/>
          </w:tcPr>
          <w:p w14:paraId="1DF01FB9" w14:textId="0E94EDEC" w:rsidR="00B60E3E" w:rsidRPr="008A3E89" w:rsidRDefault="00EC16BD" w:rsidP="005F5EB5">
            <w:pPr>
              <w:spacing w:line="276" w:lineRule="auto"/>
              <w:ind w:right="112"/>
              <w:jc w:val="both"/>
              <w:rPr>
                <w:b/>
                <w:sz w:val="20"/>
                <w:szCs w:val="20"/>
              </w:rPr>
            </w:pPr>
            <w:r w:rsidRPr="662922B4">
              <w:rPr>
                <w:rFonts w:eastAsia="Calibri" w:cs="Calibri"/>
                <w:b/>
                <w:bCs/>
                <w:sz w:val="20"/>
                <w:szCs w:val="20"/>
              </w:rPr>
              <w:t>A Learning Review of the Dedicated Grant Mechanism (DGM) for Indigenous Peoples and Local Communities in the Forest Investment Program</w:t>
            </w:r>
            <w:r>
              <w:rPr>
                <w:rFonts w:eastAsia="Calibri" w:cs="Calibri"/>
                <w:b/>
                <w:bCs/>
                <w:sz w:val="20"/>
                <w:szCs w:val="20"/>
              </w:rPr>
              <w:t xml:space="preserve"> (FIP),</w:t>
            </w:r>
            <w:r w:rsidRPr="662922B4">
              <w:rPr>
                <w:rFonts w:eastAsia="Calibri" w:cs="Calibri"/>
                <w:b/>
                <w:bCs/>
                <w:sz w:val="20"/>
                <w:szCs w:val="20"/>
              </w:rPr>
              <w:t xml:space="preserve"> (Climate Investment Funds).</w:t>
            </w:r>
            <w:r w:rsidRPr="662922B4">
              <w:rPr>
                <w:rFonts w:eastAsia="Calibri" w:cs="Calibri"/>
                <w:sz w:val="20"/>
                <w:szCs w:val="20"/>
              </w:rPr>
              <w:t xml:space="preserve"> </w:t>
            </w:r>
            <w:r w:rsidRPr="0028744D">
              <w:rPr>
                <w:rFonts w:eastAsia="Calibri" w:cs="Calibri"/>
                <w:i/>
                <w:iCs/>
                <w:sz w:val="20"/>
                <w:szCs w:val="20"/>
              </w:rPr>
              <w:t>Learning Lead</w:t>
            </w:r>
            <w:r>
              <w:rPr>
                <w:rFonts w:eastAsia="Calibri" w:cs="Calibri"/>
                <w:sz w:val="20"/>
                <w:szCs w:val="20"/>
              </w:rPr>
              <w:t>.</w:t>
            </w:r>
            <w:r w:rsidRPr="662922B4">
              <w:rPr>
                <w:rFonts w:eastAsia="Calibri" w:cs="Calibri"/>
                <w:sz w:val="20"/>
                <w:szCs w:val="20"/>
              </w:rPr>
              <w:t xml:space="preserve"> Itad’s learning review </w:t>
            </w:r>
            <w:r>
              <w:rPr>
                <w:rFonts w:eastAsia="Calibri" w:cs="Calibri"/>
                <w:sz w:val="20"/>
                <w:szCs w:val="20"/>
              </w:rPr>
              <w:t xml:space="preserve">sought to explore and capture </w:t>
            </w:r>
            <w:r w:rsidRPr="662922B4">
              <w:rPr>
                <w:rFonts w:eastAsia="Calibri" w:cs="Calibri"/>
                <w:sz w:val="20"/>
                <w:szCs w:val="20"/>
              </w:rPr>
              <w:t xml:space="preserve">the </w:t>
            </w:r>
            <w:r w:rsidRPr="0098352D">
              <w:rPr>
                <w:rFonts w:eastAsia="Calibri" w:cs="Calibri"/>
                <w:sz w:val="20"/>
                <w:szCs w:val="20"/>
              </w:rPr>
              <w:t>FIP DGM’s experience in encouraging greater involvement of IPLCs in financial and policy processes that relate to forests</w:t>
            </w:r>
            <w:r>
              <w:rPr>
                <w:rFonts w:eastAsia="Calibri" w:cs="Calibri"/>
                <w:sz w:val="20"/>
                <w:szCs w:val="20"/>
              </w:rPr>
              <w:t xml:space="preserve">. Clare </w:t>
            </w:r>
            <w:r w:rsidRPr="662922B4">
              <w:rPr>
                <w:rFonts w:eastAsia="Calibri" w:cs="Calibri"/>
                <w:sz w:val="20"/>
                <w:szCs w:val="20"/>
              </w:rPr>
              <w:t xml:space="preserve">delivered evaluative design, knowledge sharing and case study analyses for the project, to support Itad in the delivery of </w:t>
            </w:r>
            <w:r w:rsidRPr="6B7EF9D1">
              <w:rPr>
                <w:rFonts w:eastAsia="Calibri" w:cs="Calibri"/>
                <w:sz w:val="20"/>
                <w:szCs w:val="20"/>
              </w:rPr>
              <w:t>the</w:t>
            </w:r>
            <w:r w:rsidRPr="662922B4">
              <w:rPr>
                <w:rFonts w:eastAsia="Calibri" w:cs="Calibri"/>
                <w:sz w:val="20"/>
                <w:szCs w:val="20"/>
              </w:rPr>
              <w:t xml:space="preserve"> final report.</w:t>
            </w:r>
          </w:p>
        </w:tc>
      </w:tr>
      <w:tr w:rsidR="00B60E3E" w:rsidRPr="001D4C02" w14:paraId="65123CD2" w14:textId="77777777" w:rsidTr="005F5EB5">
        <w:trPr>
          <w:trHeight w:val="237"/>
          <w:tblCellSpacing w:w="14" w:type="dxa"/>
        </w:trPr>
        <w:tc>
          <w:tcPr>
            <w:tcW w:w="655" w:type="pct"/>
          </w:tcPr>
          <w:p w14:paraId="658B38BD" w14:textId="5298DD78" w:rsidR="00B60E3E" w:rsidRPr="001D4C02" w:rsidRDefault="00E631DF" w:rsidP="005F5EB5">
            <w:pPr>
              <w:spacing w:line="276" w:lineRule="auto"/>
              <w:rPr>
                <w:b/>
                <w:color w:val="666666" w:themeColor="text1" w:themeTint="99"/>
                <w:sz w:val="20"/>
                <w:szCs w:val="20"/>
              </w:rPr>
            </w:pPr>
            <w:r w:rsidRPr="10278D7A">
              <w:rPr>
                <w:b/>
                <w:bCs/>
                <w:color w:val="666666" w:themeColor="text1" w:themeTint="99"/>
                <w:sz w:val="20"/>
                <w:szCs w:val="20"/>
              </w:rPr>
              <w:t xml:space="preserve">2016 - </w:t>
            </w:r>
            <w:r w:rsidRPr="6B7EF9D1">
              <w:rPr>
                <w:b/>
                <w:bCs/>
                <w:color w:val="666666" w:themeColor="text1" w:themeTint="99"/>
                <w:sz w:val="20"/>
                <w:szCs w:val="20"/>
              </w:rPr>
              <w:t>2020</w:t>
            </w:r>
          </w:p>
        </w:tc>
        <w:tc>
          <w:tcPr>
            <w:tcW w:w="4305" w:type="pct"/>
          </w:tcPr>
          <w:p w14:paraId="290CA492" w14:textId="75269E62" w:rsidR="00B60E3E" w:rsidRPr="008A3E89" w:rsidRDefault="00E631DF" w:rsidP="005F5EB5">
            <w:pPr>
              <w:spacing w:line="276" w:lineRule="auto"/>
              <w:ind w:right="112"/>
              <w:jc w:val="both"/>
              <w:rPr>
                <w:b/>
                <w:sz w:val="20"/>
                <w:szCs w:val="20"/>
              </w:rPr>
            </w:pPr>
            <w:r w:rsidRPr="10278D7A">
              <w:rPr>
                <w:b/>
                <w:bCs/>
                <w:sz w:val="20"/>
                <w:szCs w:val="20"/>
              </w:rPr>
              <w:t>Ideas to Impact (DFID Innovation Prizes for Environment and Development)</w:t>
            </w:r>
            <w:r w:rsidRPr="10278D7A">
              <w:rPr>
                <w:sz w:val="20"/>
                <w:szCs w:val="20"/>
              </w:rPr>
              <w:t>, (DFID, UK)</w:t>
            </w:r>
            <w:r w:rsidRPr="10278D7A">
              <w:rPr>
                <w:i/>
                <w:iCs/>
                <w:sz w:val="20"/>
                <w:szCs w:val="20"/>
              </w:rPr>
              <w:t xml:space="preserve"> M&amp;E Consultant.</w:t>
            </w:r>
            <w:r w:rsidRPr="10278D7A">
              <w:rPr>
                <w:sz w:val="20"/>
                <w:szCs w:val="20"/>
              </w:rPr>
              <w:t xml:space="preserve"> “Ideas to Impact”</w:t>
            </w:r>
            <w:r w:rsidR="00860330">
              <w:rPr>
                <w:sz w:val="20"/>
                <w:szCs w:val="20"/>
              </w:rPr>
              <w:t xml:space="preserve"> launched </w:t>
            </w:r>
            <w:r w:rsidRPr="10278D7A">
              <w:rPr>
                <w:sz w:val="20"/>
                <w:szCs w:val="20"/>
              </w:rPr>
              <w:t>and award</w:t>
            </w:r>
            <w:r w:rsidR="00860330">
              <w:rPr>
                <w:sz w:val="20"/>
                <w:szCs w:val="20"/>
              </w:rPr>
              <w:t>ed</w:t>
            </w:r>
            <w:r w:rsidRPr="10278D7A">
              <w:rPr>
                <w:sz w:val="20"/>
                <w:szCs w:val="20"/>
              </w:rPr>
              <w:t xml:space="preserve"> </w:t>
            </w:r>
            <w:r w:rsidR="00860330">
              <w:rPr>
                <w:sz w:val="20"/>
                <w:szCs w:val="20"/>
              </w:rPr>
              <w:t>seven</w:t>
            </w:r>
            <w:r w:rsidRPr="10278D7A">
              <w:rPr>
                <w:sz w:val="20"/>
                <w:szCs w:val="20"/>
              </w:rPr>
              <w:t xml:space="preserve"> innovation prizes </w:t>
            </w:r>
            <w:r w:rsidR="00860330">
              <w:rPr>
                <w:sz w:val="20"/>
                <w:szCs w:val="20"/>
              </w:rPr>
              <w:t>stimulating</w:t>
            </w:r>
            <w:r w:rsidRPr="10278D7A">
              <w:rPr>
                <w:sz w:val="20"/>
                <w:szCs w:val="20"/>
              </w:rPr>
              <w:t xml:space="preserve"> solutions to </w:t>
            </w:r>
            <w:r w:rsidR="00860330">
              <w:rPr>
                <w:sz w:val="20"/>
                <w:szCs w:val="20"/>
              </w:rPr>
              <w:t xml:space="preserve">climate adaptation, climate information, </w:t>
            </w:r>
            <w:r w:rsidRPr="10278D7A">
              <w:rPr>
                <w:sz w:val="20"/>
                <w:szCs w:val="20"/>
              </w:rPr>
              <w:t>affordable clean energy</w:t>
            </w:r>
            <w:r w:rsidR="00860330">
              <w:rPr>
                <w:sz w:val="20"/>
                <w:szCs w:val="20"/>
              </w:rPr>
              <w:t xml:space="preserve"> access and</w:t>
            </w:r>
            <w:r w:rsidRPr="10278D7A">
              <w:rPr>
                <w:sz w:val="20"/>
                <w:szCs w:val="20"/>
              </w:rPr>
              <w:t xml:space="preserve"> safe drinking water. </w:t>
            </w:r>
            <w:r w:rsidRPr="10278D7A">
              <w:rPr>
                <w:sz w:val="20"/>
                <w:szCs w:val="20"/>
              </w:rPr>
              <w:lastRenderedPageBreak/>
              <w:t xml:space="preserve">Itad </w:t>
            </w:r>
            <w:r w:rsidR="00860330">
              <w:rPr>
                <w:sz w:val="20"/>
                <w:szCs w:val="20"/>
              </w:rPr>
              <w:t>led</w:t>
            </w:r>
            <w:r w:rsidRPr="10278D7A">
              <w:rPr>
                <w:sz w:val="20"/>
                <w:szCs w:val="20"/>
              </w:rPr>
              <w:t xml:space="preserve"> the design and implementation of Ideas to Impact’s Monitoring &amp; Evaluation as part of the IMC-led service provider consortium. Clare</w:t>
            </w:r>
            <w:r w:rsidR="00860330">
              <w:rPr>
                <w:sz w:val="20"/>
                <w:szCs w:val="20"/>
              </w:rPr>
              <w:t xml:space="preserve"> supported the </w:t>
            </w:r>
            <w:r w:rsidRPr="10278D7A">
              <w:rPr>
                <w:sz w:val="20"/>
                <w:szCs w:val="20"/>
              </w:rPr>
              <w:t>methodology development</w:t>
            </w:r>
            <w:r w:rsidR="00860330">
              <w:rPr>
                <w:sz w:val="20"/>
                <w:szCs w:val="20"/>
              </w:rPr>
              <w:t>, including VFM</w:t>
            </w:r>
            <w:r w:rsidR="00860330" w:rsidRPr="10278D7A">
              <w:rPr>
                <w:sz w:val="20"/>
                <w:szCs w:val="20"/>
              </w:rPr>
              <w:t>,</w:t>
            </w:r>
            <w:r w:rsidR="00860330">
              <w:rPr>
                <w:sz w:val="20"/>
                <w:szCs w:val="20"/>
              </w:rPr>
              <w:t xml:space="preserve"> and led the evaluations</w:t>
            </w:r>
            <w:r w:rsidRPr="10278D7A">
              <w:rPr>
                <w:sz w:val="20"/>
                <w:szCs w:val="20"/>
              </w:rPr>
              <w:t xml:space="preserve"> for the Climate Information and Adaptation at Scale prizes.</w:t>
            </w:r>
          </w:p>
        </w:tc>
      </w:tr>
      <w:tr w:rsidR="00B60E3E" w:rsidRPr="001D4C02" w14:paraId="11C40D22" w14:textId="77777777" w:rsidTr="005F5EB5">
        <w:trPr>
          <w:trHeight w:val="237"/>
          <w:tblCellSpacing w:w="14" w:type="dxa"/>
        </w:trPr>
        <w:tc>
          <w:tcPr>
            <w:tcW w:w="655" w:type="pct"/>
          </w:tcPr>
          <w:p w14:paraId="07B41E95" w14:textId="1F742509" w:rsidR="00B60E3E" w:rsidRPr="001D4C02" w:rsidRDefault="00E631DF" w:rsidP="005F5EB5">
            <w:pPr>
              <w:spacing w:line="276" w:lineRule="auto"/>
              <w:rPr>
                <w:b/>
                <w:color w:val="666666" w:themeColor="text1" w:themeTint="99"/>
                <w:sz w:val="20"/>
                <w:szCs w:val="20"/>
              </w:rPr>
            </w:pPr>
            <w:r w:rsidRPr="3182AD8C">
              <w:rPr>
                <w:b/>
                <w:bCs/>
                <w:color w:val="666666" w:themeColor="text1" w:themeTint="99"/>
                <w:sz w:val="20"/>
                <w:szCs w:val="20"/>
              </w:rPr>
              <w:lastRenderedPageBreak/>
              <w:t>2016 - 2017</w:t>
            </w:r>
          </w:p>
        </w:tc>
        <w:tc>
          <w:tcPr>
            <w:tcW w:w="4305" w:type="pct"/>
          </w:tcPr>
          <w:p w14:paraId="2405E8E3" w14:textId="6BF6D899" w:rsidR="00B60E3E" w:rsidRPr="008A3E89" w:rsidRDefault="00E631DF" w:rsidP="005F5EB5">
            <w:pPr>
              <w:spacing w:line="276" w:lineRule="auto"/>
              <w:ind w:right="112"/>
              <w:jc w:val="both"/>
              <w:rPr>
                <w:b/>
                <w:sz w:val="20"/>
                <w:szCs w:val="20"/>
              </w:rPr>
            </w:pPr>
            <w:r w:rsidRPr="3182AD8C">
              <w:rPr>
                <w:b/>
                <w:bCs/>
                <w:sz w:val="20"/>
                <w:szCs w:val="20"/>
              </w:rPr>
              <w:t>Global Resilience Partnership: Monitoring, Learning and Evaluation</w:t>
            </w:r>
            <w:r w:rsidRPr="3182AD8C">
              <w:rPr>
                <w:sz w:val="20"/>
                <w:szCs w:val="20"/>
              </w:rPr>
              <w:t xml:space="preserve">, </w:t>
            </w:r>
            <w:r w:rsidRPr="00F272E3">
              <w:rPr>
                <w:b/>
                <w:sz w:val="20"/>
                <w:szCs w:val="20"/>
              </w:rPr>
              <w:t>(Rockefeller Foundation / USAID / SIDA,</w:t>
            </w:r>
            <w:r w:rsidRPr="00F272E3">
              <w:rPr>
                <w:b/>
              </w:rPr>
              <w:t xml:space="preserve"> </w:t>
            </w:r>
            <w:r w:rsidRPr="00F272E3">
              <w:rPr>
                <w:b/>
                <w:sz w:val="20"/>
                <w:szCs w:val="20"/>
              </w:rPr>
              <w:t>Multi-country</w:t>
            </w:r>
            <w:r>
              <w:rPr>
                <w:b/>
                <w:bCs/>
                <w:sz w:val="20"/>
                <w:szCs w:val="20"/>
              </w:rPr>
              <w:t>),</w:t>
            </w:r>
            <w:r w:rsidRPr="3182AD8C">
              <w:rPr>
                <w:i/>
                <w:iCs/>
                <w:sz w:val="20"/>
                <w:szCs w:val="20"/>
              </w:rPr>
              <w:t xml:space="preserve"> M&amp;E Consultant.</w:t>
            </w:r>
            <w:r w:rsidRPr="3182AD8C">
              <w:rPr>
                <w:sz w:val="20"/>
                <w:szCs w:val="20"/>
              </w:rPr>
              <w:t xml:space="preserve"> The Global Resilience Partnership (GRP) aims to help millions of vulnerable people in sub-Saharan Africa and Asia better adapt to shocks and chronic stresses and invest in a more resilient future. </w:t>
            </w:r>
            <w:r w:rsidR="00860330">
              <w:rPr>
                <w:sz w:val="20"/>
                <w:szCs w:val="20"/>
              </w:rPr>
              <w:t>It</w:t>
            </w:r>
            <w:r w:rsidRPr="3182AD8C">
              <w:rPr>
                <w:sz w:val="20"/>
                <w:szCs w:val="20"/>
              </w:rPr>
              <w:t xml:space="preserve"> combines the critical know-how, tools, and processes required to improve, build, and scale up climate resilience thinking and capacity. Itad </w:t>
            </w:r>
            <w:r w:rsidR="00860330">
              <w:rPr>
                <w:sz w:val="20"/>
                <w:szCs w:val="20"/>
              </w:rPr>
              <w:t>w</w:t>
            </w:r>
            <w:r w:rsidRPr="3182AD8C">
              <w:rPr>
                <w:sz w:val="20"/>
                <w:szCs w:val="20"/>
              </w:rPr>
              <w:t xml:space="preserve">as engaged by GRP as a Learning Partner in the Impact Unit to design and deliver a MEL system for the programme. Clare </w:t>
            </w:r>
            <w:r w:rsidR="00860330">
              <w:rPr>
                <w:sz w:val="20"/>
                <w:szCs w:val="20"/>
              </w:rPr>
              <w:t>was</w:t>
            </w:r>
            <w:r w:rsidRPr="3182AD8C">
              <w:rPr>
                <w:sz w:val="20"/>
                <w:szCs w:val="20"/>
              </w:rPr>
              <w:t xml:space="preserve"> involved in Theory of Change and MEL development, with a focus on indicators for innovation and grantee MEL support.</w:t>
            </w:r>
          </w:p>
        </w:tc>
      </w:tr>
      <w:tr w:rsidR="00B60E3E" w:rsidRPr="001D4C02" w14:paraId="530FA6FE" w14:textId="77777777" w:rsidTr="005F5EB5">
        <w:trPr>
          <w:trHeight w:val="237"/>
          <w:tblCellSpacing w:w="14" w:type="dxa"/>
        </w:trPr>
        <w:tc>
          <w:tcPr>
            <w:tcW w:w="655" w:type="pct"/>
          </w:tcPr>
          <w:p w14:paraId="29387B77" w14:textId="33581921" w:rsidR="00B60E3E" w:rsidRPr="001D4C02" w:rsidRDefault="00E631DF" w:rsidP="005F5EB5">
            <w:pPr>
              <w:spacing w:line="276" w:lineRule="auto"/>
              <w:rPr>
                <w:b/>
                <w:color w:val="666666" w:themeColor="text1" w:themeTint="99"/>
                <w:sz w:val="20"/>
                <w:szCs w:val="20"/>
              </w:rPr>
            </w:pPr>
            <w:r w:rsidRPr="10278D7A">
              <w:rPr>
                <w:b/>
                <w:bCs/>
                <w:color w:val="666666" w:themeColor="text1" w:themeTint="99"/>
                <w:sz w:val="20"/>
                <w:szCs w:val="20"/>
              </w:rPr>
              <w:t>2016</w:t>
            </w:r>
          </w:p>
        </w:tc>
        <w:tc>
          <w:tcPr>
            <w:tcW w:w="4305" w:type="pct"/>
          </w:tcPr>
          <w:p w14:paraId="76E53ADA" w14:textId="01938C02" w:rsidR="00B60E3E" w:rsidRPr="008A3E89" w:rsidRDefault="00E631DF" w:rsidP="005F5EB5">
            <w:pPr>
              <w:spacing w:line="276" w:lineRule="auto"/>
              <w:ind w:right="112"/>
              <w:jc w:val="both"/>
              <w:rPr>
                <w:b/>
                <w:sz w:val="20"/>
                <w:szCs w:val="20"/>
              </w:rPr>
            </w:pPr>
            <w:r>
              <w:rPr>
                <w:b/>
                <w:bCs/>
                <w:sz w:val="20"/>
                <w:szCs w:val="20"/>
              </w:rPr>
              <w:t>Local</w:t>
            </w:r>
            <w:r w:rsidRPr="10278D7A">
              <w:rPr>
                <w:b/>
                <w:bCs/>
                <w:sz w:val="20"/>
                <w:szCs w:val="20"/>
              </w:rPr>
              <w:t xml:space="preserve"> Climate Finance in Kenya and Tanzania</w:t>
            </w:r>
            <w:r w:rsidRPr="10278D7A">
              <w:rPr>
                <w:sz w:val="20"/>
                <w:szCs w:val="20"/>
              </w:rPr>
              <w:t xml:space="preserve">, </w:t>
            </w:r>
            <w:r w:rsidRPr="00F272E3">
              <w:rPr>
                <w:b/>
                <w:sz w:val="20"/>
                <w:szCs w:val="20"/>
              </w:rPr>
              <w:t>(DFID, Kenya and Tanzania</w:t>
            </w:r>
            <w:r w:rsidRPr="00F272E3">
              <w:rPr>
                <w:b/>
                <w:bCs/>
                <w:sz w:val="20"/>
                <w:szCs w:val="20"/>
              </w:rPr>
              <w:t>),</w:t>
            </w:r>
            <w:r w:rsidRPr="10278D7A">
              <w:rPr>
                <w:i/>
                <w:iCs/>
                <w:sz w:val="20"/>
                <w:szCs w:val="20"/>
              </w:rPr>
              <w:t xml:space="preserve"> Research Consultant.</w:t>
            </w:r>
            <w:r w:rsidRPr="10278D7A">
              <w:rPr>
                <w:sz w:val="20"/>
                <w:szCs w:val="20"/>
              </w:rPr>
              <w:t xml:space="preserve"> </w:t>
            </w:r>
            <w:r>
              <w:rPr>
                <w:sz w:val="20"/>
                <w:szCs w:val="20"/>
              </w:rPr>
              <w:t>Clare was r</w:t>
            </w:r>
            <w:r w:rsidRPr="10278D7A">
              <w:rPr>
                <w:sz w:val="20"/>
                <w:szCs w:val="20"/>
              </w:rPr>
              <w:t xml:space="preserve">esponsible for the design, facilitation, and analysis of </w:t>
            </w:r>
            <w:r w:rsidR="00860330">
              <w:rPr>
                <w:sz w:val="20"/>
                <w:szCs w:val="20"/>
              </w:rPr>
              <w:t xml:space="preserve">climate finance </w:t>
            </w:r>
            <w:r w:rsidRPr="10278D7A">
              <w:rPr>
                <w:sz w:val="20"/>
                <w:szCs w:val="20"/>
              </w:rPr>
              <w:t xml:space="preserve">research projects </w:t>
            </w:r>
            <w:r>
              <w:rPr>
                <w:sz w:val="20"/>
                <w:szCs w:val="20"/>
              </w:rPr>
              <w:t>across two countries.</w:t>
            </w:r>
            <w:r w:rsidRPr="10278D7A">
              <w:rPr>
                <w:sz w:val="20"/>
                <w:szCs w:val="20"/>
              </w:rPr>
              <w:t xml:space="preserve"> </w:t>
            </w:r>
            <w:r>
              <w:rPr>
                <w:sz w:val="20"/>
                <w:szCs w:val="20"/>
              </w:rPr>
              <w:t>In</w:t>
            </w:r>
            <w:r w:rsidRPr="10278D7A">
              <w:rPr>
                <w:sz w:val="20"/>
                <w:szCs w:val="20"/>
              </w:rPr>
              <w:t xml:space="preserve"> Kenya</w:t>
            </w:r>
            <w:r>
              <w:rPr>
                <w:sz w:val="20"/>
                <w:szCs w:val="20"/>
              </w:rPr>
              <w:t xml:space="preserve">, </w:t>
            </w:r>
            <w:r w:rsidR="00860330">
              <w:rPr>
                <w:sz w:val="20"/>
                <w:szCs w:val="20"/>
              </w:rPr>
              <w:t xml:space="preserve">the </w:t>
            </w:r>
            <w:r>
              <w:rPr>
                <w:sz w:val="20"/>
                <w:szCs w:val="20"/>
              </w:rPr>
              <w:t>focus was on the</w:t>
            </w:r>
            <w:r w:rsidRPr="10278D7A">
              <w:rPr>
                <w:sz w:val="20"/>
                <w:szCs w:val="20"/>
              </w:rPr>
              <w:t xml:space="preserve"> evaluat</w:t>
            </w:r>
            <w:r>
              <w:rPr>
                <w:sz w:val="20"/>
                <w:szCs w:val="20"/>
              </w:rPr>
              <w:t>ion of</w:t>
            </w:r>
            <w:r w:rsidRPr="10278D7A">
              <w:rPr>
                <w:sz w:val="20"/>
                <w:szCs w:val="20"/>
              </w:rPr>
              <w:t xml:space="preserve"> the effectiveness of County Adaptation Funds in supporting community resilience</w:t>
            </w:r>
            <w:r w:rsidR="00860330">
              <w:rPr>
                <w:sz w:val="20"/>
                <w:szCs w:val="20"/>
              </w:rPr>
              <w:t>. I</w:t>
            </w:r>
            <w:r>
              <w:rPr>
                <w:sz w:val="20"/>
                <w:szCs w:val="20"/>
              </w:rPr>
              <w:t>n</w:t>
            </w:r>
            <w:r w:rsidRPr="10278D7A">
              <w:rPr>
                <w:sz w:val="20"/>
                <w:szCs w:val="20"/>
              </w:rPr>
              <w:t xml:space="preserve"> Tanzania, </w:t>
            </w:r>
            <w:r>
              <w:rPr>
                <w:sz w:val="20"/>
                <w:szCs w:val="20"/>
              </w:rPr>
              <w:t xml:space="preserve">research sought </w:t>
            </w:r>
            <w:r w:rsidRPr="10278D7A">
              <w:rPr>
                <w:sz w:val="20"/>
                <w:szCs w:val="20"/>
              </w:rPr>
              <w:t>to examine the channels of finance from international to national and subnational levels. This included in-depth climate finance policy reviews for each country; establishing, training, and managing research teams in country; designing respective research framework; facilitating and conducting data collection with governments, communities and implementing agencies; and analysing data to produce reports for delivery at the UNFCCC Conference of the Parties (COP) in 2016.</w:t>
            </w:r>
          </w:p>
        </w:tc>
      </w:tr>
      <w:tr w:rsidR="00B60E3E" w:rsidRPr="001D4C02" w14:paraId="4A63F1F7" w14:textId="77777777" w:rsidTr="005F5EB5">
        <w:trPr>
          <w:trHeight w:val="237"/>
          <w:tblCellSpacing w:w="14" w:type="dxa"/>
        </w:trPr>
        <w:tc>
          <w:tcPr>
            <w:tcW w:w="655" w:type="pct"/>
          </w:tcPr>
          <w:p w14:paraId="1A864A66" w14:textId="42B72EDA" w:rsidR="00B60E3E" w:rsidRPr="001D4C02" w:rsidRDefault="00E631DF" w:rsidP="005F5EB5">
            <w:pPr>
              <w:spacing w:line="276" w:lineRule="auto"/>
              <w:rPr>
                <w:b/>
                <w:color w:val="666666" w:themeColor="text1" w:themeTint="99"/>
                <w:sz w:val="20"/>
                <w:szCs w:val="20"/>
              </w:rPr>
            </w:pPr>
            <w:r w:rsidRPr="10278D7A">
              <w:rPr>
                <w:b/>
                <w:bCs/>
                <w:color w:val="666666" w:themeColor="text1" w:themeTint="99"/>
                <w:sz w:val="20"/>
                <w:szCs w:val="20"/>
              </w:rPr>
              <w:t>2016</w:t>
            </w:r>
          </w:p>
        </w:tc>
        <w:tc>
          <w:tcPr>
            <w:tcW w:w="4305" w:type="pct"/>
          </w:tcPr>
          <w:p w14:paraId="2CE0E2A7" w14:textId="3C2E811C" w:rsidR="00B60E3E" w:rsidRPr="008A3E89" w:rsidRDefault="00E631DF" w:rsidP="005F5EB5">
            <w:pPr>
              <w:spacing w:line="276" w:lineRule="auto"/>
              <w:ind w:right="112"/>
              <w:jc w:val="both"/>
              <w:rPr>
                <w:b/>
                <w:sz w:val="20"/>
                <w:szCs w:val="20"/>
              </w:rPr>
            </w:pPr>
            <w:r w:rsidRPr="10278D7A">
              <w:rPr>
                <w:b/>
                <w:bCs/>
                <w:sz w:val="20"/>
                <w:szCs w:val="20"/>
              </w:rPr>
              <w:t>Myanmar Climate Change Strategy and Action Plan (MCCSAP)</w:t>
            </w:r>
            <w:r w:rsidRPr="10278D7A">
              <w:rPr>
                <w:sz w:val="20"/>
                <w:szCs w:val="20"/>
              </w:rPr>
              <w:t xml:space="preserve">, </w:t>
            </w:r>
            <w:r w:rsidRPr="00E631DF">
              <w:rPr>
                <w:b/>
                <w:bCs/>
                <w:sz w:val="20"/>
                <w:szCs w:val="20"/>
              </w:rPr>
              <w:t>(</w:t>
            </w:r>
            <w:r>
              <w:rPr>
                <w:b/>
                <w:bCs/>
                <w:sz w:val="20"/>
                <w:szCs w:val="20"/>
              </w:rPr>
              <w:t>UNDP, Myanmar</w:t>
            </w:r>
            <w:r w:rsidRPr="00E05E7E">
              <w:rPr>
                <w:b/>
                <w:bCs/>
                <w:sz w:val="20"/>
                <w:szCs w:val="20"/>
              </w:rPr>
              <w:t>),</w:t>
            </w:r>
            <w:r w:rsidRPr="10278D7A">
              <w:rPr>
                <w:i/>
                <w:iCs/>
                <w:sz w:val="20"/>
                <w:szCs w:val="20"/>
              </w:rPr>
              <w:t xml:space="preserve"> Research consultant</w:t>
            </w:r>
            <w:r>
              <w:rPr>
                <w:i/>
                <w:iCs/>
                <w:sz w:val="20"/>
                <w:szCs w:val="20"/>
              </w:rPr>
              <w:t>.</w:t>
            </w:r>
            <w:r>
              <w:t xml:space="preserve"> </w:t>
            </w:r>
            <w:r w:rsidRPr="001E6B65">
              <w:rPr>
                <w:sz w:val="20"/>
                <w:szCs w:val="20"/>
              </w:rPr>
              <w:t>Clare was involved in engaging and facilitating consultations, interviews</w:t>
            </w:r>
            <w:r>
              <w:rPr>
                <w:sz w:val="20"/>
                <w:szCs w:val="20"/>
              </w:rPr>
              <w:t>,</w:t>
            </w:r>
            <w:r w:rsidRPr="001E6B65">
              <w:rPr>
                <w:sz w:val="20"/>
                <w:szCs w:val="20"/>
              </w:rPr>
              <w:t xml:space="preserve"> and workshops with government representatives in Myanmar, seeking their input and analysis of options for effective and sustainable climate change strategy in the country. She synthesised and analysed the data, along with the consultative team, to draft a climate change strategy and action plan for Myanmar in line with their Green Growth Strategy and national priorities.</w:t>
            </w:r>
          </w:p>
        </w:tc>
      </w:tr>
      <w:tr w:rsidR="00B60E3E" w:rsidRPr="001D4C02" w14:paraId="7F00F918" w14:textId="77777777" w:rsidTr="005F5EB5">
        <w:trPr>
          <w:trHeight w:val="237"/>
          <w:tblCellSpacing w:w="14" w:type="dxa"/>
        </w:trPr>
        <w:tc>
          <w:tcPr>
            <w:tcW w:w="655" w:type="pct"/>
          </w:tcPr>
          <w:p w14:paraId="77466DA3" w14:textId="54A3BD45" w:rsidR="00B60E3E" w:rsidRPr="001D4C02" w:rsidRDefault="00E631DF" w:rsidP="005F5EB5">
            <w:pPr>
              <w:spacing w:line="276" w:lineRule="auto"/>
              <w:rPr>
                <w:b/>
                <w:color w:val="666666" w:themeColor="text1" w:themeTint="99"/>
                <w:sz w:val="20"/>
                <w:szCs w:val="20"/>
              </w:rPr>
            </w:pPr>
            <w:r>
              <w:rPr>
                <w:b/>
                <w:color w:val="666666" w:themeColor="text1" w:themeTint="99"/>
                <w:sz w:val="20"/>
                <w:szCs w:val="20"/>
              </w:rPr>
              <w:t>2013 - 2015</w:t>
            </w:r>
          </w:p>
        </w:tc>
        <w:tc>
          <w:tcPr>
            <w:tcW w:w="4305" w:type="pct"/>
          </w:tcPr>
          <w:p w14:paraId="63E90F68" w14:textId="7FA26E4B" w:rsidR="00B60E3E" w:rsidRPr="008A3E89" w:rsidRDefault="00E631DF" w:rsidP="005F5EB5">
            <w:pPr>
              <w:spacing w:line="276" w:lineRule="auto"/>
              <w:ind w:right="112"/>
              <w:jc w:val="both"/>
              <w:rPr>
                <w:b/>
                <w:sz w:val="20"/>
                <w:szCs w:val="20"/>
              </w:rPr>
            </w:pPr>
            <w:r w:rsidRPr="10278D7A">
              <w:rPr>
                <w:b/>
                <w:bCs/>
                <w:sz w:val="20"/>
                <w:szCs w:val="20"/>
              </w:rPr>
              <w:t>Gobeshona</w:t>
            </w:r>
            <w:r w:rsidRPr="10278D7A">
              <w:rPr>
                <w:sz w:val="20"/>
                <w:szCs w:val="20"/>
              </w:rPr>
              <w:t xml:space="preserve">, </w:t>
            </w:r>
            <w:r w:rsidRPr="00F272E3">
              <w:rPr>
                <w:b/>
                <w:sz w:val="20"/>
                <w:szCs w:val="20"/>
              </w:rPr>
              <w:t>(DFID, Bangladesh</w:t>
            </w:r>
            <w:r w:rsidRPr="00F272E3">
              <w:rPr>
                <w:b/>
                <w:bCs/>
                <w:sz w:val="20"/>
                <w:szCs w:val="20"/>
              </w:rPr>
              <w:t>),</w:t>
            </w:r>
            <w:r w:rsidRPr="10278D7A">
              <w:rPr>
                <w:i/>
                <w:iCs/>
                <w:sz w:val="20"/>
                <w:szCs w:val="20"/>
              </w:rPr>
              <w:t xml:space="preserve"> </w:t>
            </w:r>
            <w:r w:rsidR="00D77C24">
              <w:rPr>
                <w:i/>
                <w:iCs/>
                <w:sz w:val="20"/>
                <w:szCs w:val="20"/>
              </w:rPr>
              <w:t xml:space="preserve">Co-founder and </w:t>
            </w:r>
            <w:r w:rsidRPr="10278D7A">
              <w:rPr>
                <w:i/>
                <w:iCs/>
                <w:sz w:val="20"/>
                <w:szCs w:val="20"/>
              </w:rPr>
              <w:t>Project Lead.</w:t>
            </w:r>
            <w:r w:rsidRPr="10278D7A">
              <w:rPr>
                <w:sz w:val="20"/>
                <w:szCs w:val="20"/>
              </w:rPr>
              <w:t xml:space="preserve"> </w:t>
            </w:r>
            <w:r w:rsidR="00D77C24">
              <w:rPr>
                <w:sz w:val="20"/>
                <w:szCs w:val="20"/>
              </w:rPr>
              <w:t>Gobeshona is a research platform for delivering the latest research on climate change in Bangladesh to policy makers to support effective action. Its establishment</w:t>
            </w:r>
            <w:r w:rsidRPr="10278D7A">
              <w:rPr>
                <w:sz w:val="20"/>
                <w:szCs w:val="20"/>
              </w:rPr>
              <w:t xml:space="preserve"> included developing and formalizing strategic partnerships with contributing research organizations</w:t>
            </w:r>
            <w:r w:rsidR="00D77C24">
              <w:rPr>
                <w:sz w:val="20"/>
                <w:szCs w:val="20"/>
              </w:rPr>
              <w:t xml:space="preserve"> and </w:t>
            </w:r>
            <w:r w:rsidRPr="10278D7A">
              <w:rPr>
                <w:sz w:val="20"/>
                <w:szCs w:val="20"/>
              </w:rPr>
              <w:t xml:space="preserve">government and implementing entities. </w:t>
            </w:r>
            <w:r>
              <w:rPr>
                <w:sz w:val="20"/>
                <w:szCs w:val="20"/>
              </w:rPr>
              <w:t xml:space="preserve">Clare was responsible for </w:t>
            </w:r>
            <w:r w:rsidR="00D77C24">
              <w:rPr>
                <w:sz w:val="20"/>
                <w:szCs w:val="20"/>
              </w:rPr>
              <w:t>designing and managing</w:t>
            </w:r>
            <w:r w:rsidRPr="10278D7A">
              <w:rPr>
                <w:sz w:val="20"/>
                <w:szCs w:val="20"/>
              </w:rPr>
              <w:t xml:space="preserve"> the corresponding web portal, seminar series and annual international conference to effectively support learning outcomes resulting from the initiative. </w:t>
            </w:r>
            <w:r>
              <w:rPr>
                <w:sz w:val="20"/>
                <w:szCs w:val="20"/>
              </w:rPr>
              <w:t>Clare f</w:t>
            </w:r>
            <w:r w:rsidRPr="10278D7A">
              <w:rPr>
                <w:sz w:val="20"/>
                <w:szCs w:val="20"/>
              </w:rPr>
              <w:t xml:space="preserve">acilitated working sessions with the </w:t>
            </w:r>
            <w:r w:rsidR="00D77C24">
              <w:rPr>
                <w:sz w:val="20"/>
                <w:szCs w:val="20"/>
              </w:rPr>
              <w:t>G</w:t>
            </w:r>
            <w:r w:rsidRPr="10278D7A">
              <w:rPr>
                <w:sz w:val="20"/>
                <w:szCs w:val="20"/>
              </w:rPr>
              <w:t>overnment</w:t>
            </w:r>
            <w:r w:rsidR="00D77C24">
              <w:rPr>
                <w:sz w:val="20"/>
                <w:szCs w:val="20"/>
              </w:rPr>
              <w:t xml:space="preserve"> of Bangladesh</w:t>
            </w:r>
            <w:r w:rsidRPr="10278D7A">
              <w:rPr>
                <w:sz w:val="20"/>
                <w:szCs w:val="20"/>
              </w:rPr>
              <w:t xml:space="preserve"> to deliver targeted knowledge to inform national policy and planning for climate change related matters.    </w:t>
            </w:r>
          </w:p>
        </w:tc>
      </w:tr>
    </w:tbl>
    <w:p w14:paraId="636118A2" w14:textId="77777777" w:rsidR="00B60E3E" w:rsidRPr="001D4C02" w:rsidRDefault="00B60E3E" w:rsidP="00B60E3E">
      <w:pPr>
        <w:spacing w:after="40" w:line="276" w:lineRule="auto"/>
        <w:rPr>
          <w:rFonts w:cstheme="minorHAnsi"/>
          <w:sz w:val="4"/>
          <w:szCs w:val="4"/>
        </w:rPr>
      </w:pPr>
      <w:r w:rsidRPr="001D4C02">
        <w:rPr>
          <w:rFonts w:cstheme="minorHAnsi"/>
          <w:sz w:val="4"/>
          <w:szCs w:val="4"/>
        </w:rPr>
        <w:br w:type="textWrapping" w:clear="all"/>
      </w:r>
    </w:p>
    <w:p w14:paraId="1EFAF611" w14:textId="77777777" w:rsidR="00B60E3E" w:rsidRPr="00D65826" w:rsidRDefault="00B60E3E" w:rsidP="00B60E3E">
      <w:pPr>
        <w:pBdr>
          <w:bottom w:val="single" w:sz="4" w:space="1" w:color="D9D9D9" w:themeColor="background1" w:themeShade="D9"/>
        </w:pBdr>
        <w:spacing w:line="276" w:lineRule="auto"/>
        <w:ind w:right="112"/>
        <w:rPr>
          <w:rFonts w:cs="CubeOT"/>
          <w:b/>
          <w:bCs/>
          <w:color w:val="517740" w:themeColor="accent2"/>
        </w:rPr>
      </w:pPr>
      <w:r w:rsidRPr="00D65826">
        <w:rPr>
          <w:rFonts w:cs="CubeOT"/>
          <w:bCs/>
          <w:color w:val="517740" w:themeColor="accent2"/>
        </w:rPr>
        <w:t>Selected publications</w:t>
      </w:r>
    </w:p>
    <w:p w14:paraId="119C22D8" w14:textId="1597429F" w:rsidR="00BC5AD0" w:rsidRPr="00BC5AD0" w:rsidRDefault="00BC5AD0" w:rsidP="00CC4663">
      <w:pPr>
        <w:pStyle w:val="ListParagraph"/>
        <w:numPr>
          <w:ilvl w:val="0"/>
          <w:numId w:val="31"/>
        </w:numPr>
        <w:rPr>
          <w:sz w:val="20"/>
          <w:szCs w:val="18"/>
        </w:rPr>
      </w:pPr>
      <w:r w:rsidRPr="00BC5AD0">
        <w:rPr>
          <w:sz w:val="20"/>
          <w:szCs w:val="18"/>
        </w:rPr>
        <w:t>The climate information prize (CIP) evaluation: helping Kenyans to adapt to climate change (2019) DFID Evaluation report</w:t>
      </w:r>
      <w:r w:rsidRPr="00BC5AD0">
        <w:rPr>
          <w:sz w:val="20"/>
          <w:szCs w:val="18"/>
        </w:rPr>
        <w:t xml:space="preserve">, </w:t>
      </w:r>
      <w:r w:rsidRPr="00BC5AD0">
        <w:rPr>
          <w:sz w:val="20"/>
          <w:szCs w:val="18"/>
        </w:rPr>
        <w:t>Clare Stott, Cheryl Brown</w:t>
      </w:r>
    </w:p>
    <w:p w14:paraId="2DF1644E" w14:textId="74F5E115" w:rsidR="00BC5AD0" w:rsidRPr="00BC5AD0" w:rsidRDefault="00BC5AD0" w:rsidP="00BC5AD0">
      <w:pPr>
        <w:pStyle w:val="ListParagraph"/>
        <w:numPr>
          <w:ilvl w:val="0"/>
          <w:numId w:val="31"/>
        </w:numPr>
        <w:rPr>
          <w:sz w:val="20"/>
          <w:szCs w:val="18"/>
        </w:rPr>
      </w:pPr>
      <w:r w:rsidRPr="00BC5AD0">
        <w:rPr>
          <w:sz w:val="20"/>
          <w:szCs w:val="18"/>
        </w:rPr>
        <w:t>Adaptation at scale: final evaluation report (2020) DFID Evaluation report</w:t>
      </w:r>
    </w:p>
    <w:p w14:paraId="02DBBF39" w14:textId="1683A6C0" w:rsidR="00BC5AD0" w:rsidRPr="00BC5AD0" w:rsidRDefault="00BC5AD0" w:rsidP="00B6300A">
      <w:pPr>
        <w:pStyle w:val="ListParagraph"/>
        <w:numPr>
          <w:ilvl w:val="0"/>
          <w:numId w:val="31"/>
        </w:numPr>
        <w:rPr>
          <w:sz w:val="20"/>
          <w:szCs w:val="18"/>
        </w:rPr>
      </w:pPr>
      <w:r w:rsidRPr="00BC5AD0">
        <w:rPr>
          <w:sz w:val="20"/>
          <w:szCs w:val="18"/>
        </w:rPr>
        <w:t>Evaluating the value for money of Ideas to Impact’s innovation inducement prizes (2020) DFI</w:t>
      </w:r>
      <w:r w:rsidRPr="00BC5AD0">
        <w:rPr>
          <w:sz w:val="20"/>
          <w:szCs w:val="18"/>
        </w:rPr>
        <w:t xml:space="preserve">D </w:t>
      </w:r>
      <w:r w:rsidRPr="00BC5AD0">
        <w:rPr>
          <w:sz w:val="20"/>
          <w:szCs w:val="18"/>
        </w:rPr>
        <w:t>Research Paper</w:t>
      </w:r>
      <w:r w:rsidRPr="00BC5AD0">
        <w:rPr>
          <w:sz w:val="20"/>
          <w:szCs w:val="18"/>
        </w:rPr>
        <w:t xml:space="preserve">, </w:t>
      </w:r>
      <w:r w:rsidRPr="00BC5AD0">
        <w:rPr>
          <w:sz w:val="20"/>
          <w:szCs w:val="18"/>
        </w:rPr>
        <w:t>Clare Stott, Catherine Gould</w:t>
      </w:r>
    </w:p>
    <w:p w14:paraId="11B6FA57" w14:textId="0E19F157" w:rsidR="00BC5AD0" w:rsidRPr="00BC5AD0" w:rsidRDefault="00BC5AD0" w:rsidP="00433C7C">
      <w:pPr>
        <w:pStyle w:val="ListParagraph"/>
        <w:numPr>
          <w:ilvl w:val="0"/>
          <w:numId w:val="31"/>
        </w:numPr>
        <w:rPr>
          <w:sz w:val="20"/>
          <w:szCs w:val="18"/>
        </w:rPr>
      </w:pPr>
      <w:r w:rsidRPr="00BC5AD0">
        <w:rPr>
          <w:sz w:val="20"/>
          <w:szCs w:val="18"/>
        </w:rPr>
        <w:t>An incubator approach to scaling effective resilience solutions (2020) GRP Case Study</w:t>
      </w:r>
      <w:r w:rsidRPr="00BC5AD0">
        <w:rPr>
          <w:sz w:val="20"/>
          <w:szCs w:val="18"/>
        </w:rPr>
        <w:t xml:space="preserve">. </w:t>
      </w:r>
      <w:r w:rsidRPr="00BC5AD0">
        <w:rPr>
          <w:sz w:val="20"/>
          <w:szCs w:val="18"/>
        </w:rPr>
        <w:t>Clare Stott, Sarah Robens</w:t>
      </w:r>
    </w:p>
    <w:p w14:paraId="1DE1CA85" w14:textId="5B282C32" w:rsidR="00BC5AD0" w:rsidRPr="00C43FAE" w:rsidRDefault="00BC5AD0" w:rsidP="00E76EAE">
      <w:pPr>
        <w:pStyle w:val="ListParagraph"/>
        <w:numPr>
          <w:ilvl w:val="0"/>
          <w:numId w:val="31"/>
        </w:numPr>
        <w:rPr>
          <w:sz w:val="20"/>
          <w:szCs w:val="18"/>
        </w:rPr>
      </w:pPr>
      <w:r w:rsidRPr="00C43FAE">
        <w:rPr>
          <w:sz w:val="20"/>
          <w:szCs w:val="18"/>
        </w:rPr>
        <w:t>Building resilience in the humanitarian-development nexus: The Community Flood Resilience Project, Kakuma, Kenya (2019) GRP Case Study</w:t>
      </w:r>
      <w:r w:rsidR="00C43FAE" w:rsidRPr="00C43FAE">
        <w:rPr>
          <w:sz w:val="20"/>
          <w:szCs w:val="18"/>
        </w:rPr>
        <w:t xml:space="preserve">, </w:t>
      </w:r>
      <w:r w:rsidRPr="00C43FAE">
        <w:rPr>
          <w:sz w:val="20"/>
          <w:szCs w:val="18"/>
        </w:rPr>
        <w:t>Clare Stott</w:t>
      </w:r>
    </w:p>
    <w:p w14:paraId="4AEDEAEB" w14:textId="335BDA27" w:rsidR="00BC5AD0" w:rsidRPr="00C43FAE" w:rsidRDefault="00BC5AD0" w:rsidP="00D6632A">
      <w:pPr>
        <w:pStyle w:val="ListParagraph"/>
        <w:numPr>
          <w:ilvl w:val="0"/>
          <w:numId w:val="31"/>
        </w:numPr>
        <w:rPr>
          <w:sz w:val="20"/>
          <w:szCs w:val="18"/>
        </w:rPr>
      </w:pPr>
      <w:r w:rsidRPr="00C43FAE">
        <w:rPr>
          <w:sz w:val="20"/>
          <w:szCs w:val="18"/>
        </w:rPr>
        <w:t>A Learning Review of the Dedicated Grant Mechanism (DGM) for Indigenous Peoples and Local Communities in the Forest Investment Program (FIP) of the Climate Investment Funds (CIF) (2019), CIF report</w:t>
      </w:r>
      <w:r w:rsidR="00C43FAE" w:rsidRPr="00C43FAE">
        <w:rPr>
          <w:sz w:val="20"/>
          <w:szCs w:val="18"/>
        </w:rPr>
        <w:t xml:space="preserve">. </w:t>
      </w:r>
      <w:r w:rsidRPr="00C43FAE">
        <w:rPr>
          <w:sz w:val="20"/>
          <w:szCs w:val="18"/>
        </w:rPr>
        <w:t>Boru Douthwaite, Ben Murphy, Clare Stott, Bara Sladkova, Patrick Hardcastle, Dave Wilson</w:t>
      </w:r>
    </w:p>
    <w:p w14:paraId="2C8C0837" w14:textId="529BDF22" w:rsidR="00BC5AD0" w:rsidRPr="00C43FAE" w:rsidRDefault="00BC5AD0" w:rsidP="00CC7B85">
      <w:pPr>
        <w:pStyle w:val="ListParagraph"/>
        <w:numPr>
          <w:ilvl w:val="0"/>
          <w:numId w:val="31"/>
        </w:numPr>
        <w:rPr>
          <w:sz w:val="20"/>
          <w:szCs w:val="18"/>
        </w:rPr>
      </w:pPr>
      <w:r w:rsidRPr="00C43FAE">
        <w:rPr>
          <w:sz w:val="20"/>
          <w:szCs w:val="18"/>
        </w:rPr>
        <w:t>Finance for resilience building and ecosystem-based adaptation in Kenya (2017) Adaptation Consortium Working Paper</w:t>
      </w:r>
      <w:r w:rsidR="00C43FAE" w:rsidRPr="00C43FAE">
        <w:rPr>
          <w:sz w:val="20"/>
          <w:szCs w:val="18"/>
        </w:rPr>
        <w:t xml:space="preserve">. </w:t>
      </w:r>
      <w:r w:rsidRPr="00C43FAE">
        <w:rPr>
          <w:sz w:val="20"/>
          <w:szCs w:val="18"/>
        </w:rPr>
        <w:t>John Nyagena, Clare Stott and Adan Wario</w:t>
      </w:r>
    </w:p>
    <w:p w14:paraId="664DD624" w14:textId="2A02764E" w:rsidR="00BC5AD0" w:rsidRPr="00C43FAE" w:rsidRDefault="00BC5AD0" w:rsidP="009A391B">
      <w:pPr>
        <w:pStyle w:val="ListParagraph"/>
        <w:numPr>
          <w:ilvl w:val="0"/>
          <w:numId w:val="31"/>
        </w:numPr>
        <w:rPr>
          <w:sz w:val="20"/>
          <w:szCs w:val="18"/>
        </w:rPr>
      </w:pPr>
      <w:r w:rsidRPr="00C43FAE">
        <w:rPr>
          <w:sz w:val="20"/>
          <w:szCs w:val="18"/>
        </w:rPr>
        <w:lastRenderedPageBreak/>
        <w:t>Climate Finance Short Course Training Report (2016), IIED Report</w:t>
      </w:r>
      <w:r w:rsidR="00C43FAE" w:rsidRPr="00C43FAE">
        <w:rPr>
          <w:sz w:val="20"/>
          <w:szCs w:val="18"/>
        </w:rPr>
        <w:t xml:space="preserve">. </w:t>
      </w:r>
      <w:r w:rsidRPr="00C43FAE">
        <w:rPr>
          <w:sz w:val="20"/>
          <w:szCs w:val="18"/>
        </w:rPr>
        <w:t>Yousuf Mahid, Clare Stott</w:t>
      </w:r>
    </w:p>
    <w:p w14:paraId="204C5988" w14:textId="5551A097" w:rsidR="00E631DF" w:rsidRPr="00E631DF" w:rsidRDefault="00E631DF" w:rsidP="00E631DF">
      <w:pPr>
        <w:pStyle w:val="ListParagraph"/>
        <w:numPr>
          <w:ilvl w:val="0"/>
          <w:numId w:val="31"/>
        </w:numPr>
        <w:ind w:left="284" w:hanging="284"/>
        <w:rPr>
          <w:sz w:val="20"/>
          <w:szCs w:val="18"/>
        </w:rPr>
      </w:pPr>
      <w:r w:rsidRPr="00E631DF">
        <w:rPr>
          <w:sz w:val="20"/>
          <w:szCs w:val="18"/>
        </w:rPr>
        <w:t>Climate Proofing the Goals (2015) BOND. Clare Stott (lead author)</w:t>
      </w:r>
    </w:p>
    <w:p w14:paraId="2C137666" w14:textId="5538B497" w:rsidR="00E631DF" w:rsidRPr="00E631DF" w:rsidRDefault="00E631DF" w:rsidP="00E631DF">
      <w:pPr>
        <w:pStyle w:val="ListParagraph"/>
        <w:numPr>
          <w:ilvl w:val="0"/>
          <w:numId w:val="31"/>
        </w:numPr>
        <w:ind w:left="284" w:hanging="284"/>
        <w:rPr>
          <w:sz w:val="20"/>
          <w:szCs w:val="18"/>
        </w:rPr>
      </w:pPr>
      <w:r w:rsidRPr="00E631DF">
        <w:rPr>
          <w:sz w:val="20"/>
          <w:szCs w:val="18"/>
        </w:rPr>
        <w:t>APAN Adaptation Technology Database (2015) APAN Online Resource. Clare Stott (lead author)</w:t>
      </w:r>
    </w:p>
    <w:p w14:paraId="01B1DF2E" w14:textId="3FAF2BC8" w:rsidR="00E631DF" w:rsidRPr="00E631DF" w:rsidRDefault="00E631DF" w:rsidP="00E631DF">
      <w:pPr>
        <w:pStyle w:val="ListParagraph"/>
        <w:numPr>
          <w:ilvl w:val="0"/>
          <w:numId w:val="31"/>
        </w:numPr>
        <w:ind w:left="284" w:hanging="284"/>
        <w:rPr>
          <w:sz w:val="20"/>
          <w:szCs w:val="18"/>
        </w:rPr>
      </w:pPr>
      <w:r w:rsidRPr="00E631DF">
        <w:rPr>
          <w:sz w:val="20"/>
          <w:szCs w:val="18"/>
        </w:rPr>
        <w:t xml:space="preserve">Knowledge flows in climate change adaptation: exploring friction between scales (2014) Climate and Development, 6:4, 382-387, </w:t>
      </w:r>
      <w:r w:rsidR="00860330" w:rsidRPr="00E631DF">
        <w:rPr>
          <w:sz w:val="20"/>
          <w:szCs w:val="18"/>
        </w:rPr>
        <w:t>Clare Stott &amp; Saleemul Huq</w:t>
      </w:r>
      <w:r w:rsidRPr="00E631DF">
        <w:rPr>
          <w:sz w:val="20"/>
          <w:szCs w:val="18"/>
        </w:rPr>
        <w:cr/>
        <w:t>Framework for Various Approaches including Non</w:t>
      </w:r>
      <w:r w:rsidRPr="00E631DF">
        <w:rPr>
          <w:rFonts w:ascii="Cambria Math" w:hAnsi="Cambria Math" w:cs="Cambria Math"/>
          <w:sz w:val="20"/>
          <w:szCs w:val="18"/>
        </w:rPr>
        <w:t>‐</w:t>
      </w:r>
      <w:r w:rsidRPr="00E631DF">
        <w:rPr>
          <w:sz w:val="20"/>
          <w:szCs w:val="18"/>
        </w:rPr>
        <w:t>Market Based Approaches and the New Market Mechanism (2014) SEAN-CC Negotiation Briefing Paper. Clare Stott (lead author)</w:t>
      </w:r>
    </w:p>
    <w:p w14:paraId="1FCB9D10" w14:textId="19EEACD9" w:rsidR="00E631DF" w:rsidRPr="00E631DF" w:rsidRDefault="00E631DF" w:rsidP="00E631DF">
      <w:pPr>
        <w:pStyle w:val="ListParagraph"/>
        <w:numPr>
          <w:ilvl w:val="0"/>
          <w:numId w:val="31"/>
        </w:numPr>
        <w:ind w:left="284" w:hanging="284"/>
        <w:rPr>
          <w:sz w:val="20"/>
          <w:szCs w:val="18"/>
        </w:rPr>
      </w:pPr>
      <w:r w:rsidRPr="00E631DF">
        <w:rPr>
          <w:sz w:val="20"/>
          <w:szCs w:val="18"/>
        </w:rPr>
        <w:t>Technology Executive Committee Brief #4: Technologies for Adaptation in the Agriculture Sector (2014). UNFCCC. Clare Stott (lead author)</w:t>
      </w:r>
    </w:p>
    <w:p w14:paraId="61552EE0" w14:textId="41868866" w:rsidR="00E631DF" w:rsidRPr="00E631DF" w:rsidRDefault="00E631DF" w:rsidP="00E631DF">
      <w:pPr>
        <w:pStyle w:val="ListParagraph"/>
        <w:numPr>
          <w:ilvl w:val="0"/>
          <w:numId w:val="31"/>
        </w:numPr>
        <w:ind w:left="284" w:hanging="284"/>
        <w:rPr>
          <w:sz w:val="20"/>
          <w:szCs w:val="18"/>
        </w:rPr>
      </w:pPr>
      <w:r w:rsidRPr="00E631DF">
        <w:rPr>
          <w:sz w:val="20"/>
          <w:szCs w:val="18"/>
        </w:rPr>
        <w:t>Technology Executive Committee Brief #5: Technologies for Adaptation in the Water Sector (2014). UNFCCC. Clare Stott (lead author)</w:t>
      </w:r>
    </w:p>
    <w:p w14:paraId="6CDAB20A" w14:textId="5ABDEE28" w:rsidR="001A2C79" w:rsidRPr="001A2C79" w:rsidRDefault="00E631DF" w:rsidP="00E631DF">
      <w:pPr>
        <w:pStyle w:val="ListParagraph"/>
        <w:numPr>
          <w:ilvl w:val="0"/>
          <w:numId w:val="31"/>
        </w:numPr>
        <w:ind w:left="284" w:hanging="284"/>
      </w:pPr>
      <w:r w:rsidRPr="00E631DF">
        <w:rPr>
          <w:sz w:val="20"/>
          <w:szCs w:val="18"/>
        </w:rPr>
        <w:t>An Examination of the Least Developed Countries in the IPCC (2014) IIED. Clare Stott</w:t>
      </w:r>
    </w:p>
    <w:sectPr w:rsidR="001A2C79" w:rsidRPr="001A2C79" w:rsidSect="00B60E3E">
      <w:headerReference w:type="even" r:id="rId11"/>
      <w:headerReference w:type="default" r:id="rId12"/>
      <w:footerReference w:type="even" r:id="rId13"/>
      <w:footerReference w:type="default" r:id="rId14"/>
      <w:pgSz w:w="11901" w:h="16817"/>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4A71" w14:textId="77777777" w:rsidR="00763A57" w:rsidRDefault="00763A57" w:rsidP="0015101C">
      <w:r>
        <w:separator/>
      </w:r>
    </w:p>
    <w:p w14:paraId="26689251" w14:textId="77777777" w:rsidR="00763A57" w:rsidRDefault="00763A57" w:rsidP="0015101C"/>
    <w:p w14:paraId="14C1E8EC" w14:textId="77777777" w:rsidR="00763A57" w:rsidRDefault="00763A57" w:rsidP="0015101C"/>
    <w:p w14:paraId="6E1161C0" w14:textId="77777777" w:rsidR="00763A57" w:rsidRDefault="00763A57" w:rsidP="0015101C"/>
    <w:p w14:paraId="2BDFEF8C" w14:textId="77777777" w:rsidR="00763A57" w:rsidRDefault="00763A57" w:rsidP="0015101C"/>
  </w:endnote>
  <w:endnote w:type="continuationSeparator" w:id="0">
    <w:p w14:paraId="11B3E0C6" w14:textId="77777777" w:rsidR="00763A57" w:rsidRDefault="00763A57" w:rsidP="0015101C">
      <w:r>
        <w:continuationSeparator/>
      </w:r>
    </w:p>
    <w:p w14:paraId="3CC2C5DA" w14:textId="77777777" w:rsidR="00763A57" w:rsidRDefault="00763A57" w:rsidP="0015101C"/>
    <w:p w14:paraId="172CFF55" w14:textId="77777777" w:rsidR="00763A57" w:rsidRDefault="00763A57" w:rsidP="0015101C"/>
    <w:p w14:paraId="344C3021" w14:textId="77777777" w:rsidR="00763A57" w:rsidRDefault="00763A57" w:rsidP="0015101C"/>
    <w:p w14:paraId="69DF2A11" w14:textId="77777777" w:rsidR="00763A57" w:rsidRDefault="00763A57" w:rsidP="00151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ndview">
    <w:charset w:val="00"/>
    <w:family w:val="swiss"/>
    <w:pitch w:val="variable"/>
    <w:sig w:usb0="A00002C7" w:usb1="00000002"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ubeOT">
    <w:altName w:val="Calibri"/>
    <w:panose1 w:val="00000000000000000000"/>
    <w:charset w:val="00"/>
    <w:family w:val="swiss"/>
    <w:notTrueType/>
    <w:pitch w:val="variable"/>
    <w:sig w:usb0="800000EF" w:usb1="4000A04A" w:usb2="00000008"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376735"/>
      <w:docPartObj>
        <w:docPartGallery w:val="Page Numbers (Bottom of Page)"/>
        <w:docPartUnique/>
      </w:docPartObj>
    </w:sdtPr>
    <w:sdtEndPr>
      <w:rPr>
        <w:rStyle w:val="PageNumber"/>
      </w:rPr>
    </w:sdtEndPr>
    <w:sdtContent>
      <w:p w14:paraId="7B1F18B6" w14:textId="77777777" w:rsidR="006F00FD" w:rsidRDefault="006F00FD" w:rsidP="009A3E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03EDAF" w14:textId="77777777" w:rsidR="00990116" w:rsidRDefault="00990116" w:rsidP="006F00FD">
    <w:pPr>
      <w:pStyle w:val="Footer"/>
      <w:ind w:right="360"/>
      <w:rPr>
        <w:rStyle w:val="PageNumber"/>
      </w:rPr>
    </w:pPr>
  </w:p>
  <w:p w14:paraId="78C23E3E" w14:textId="77777777" w:rsidR="00990116" w:rsidRDefault="00990116" w:rsidP="0015101C">
    <w:pPr>
      <w:pStyle w:val="Footer"/>
    </w:pPr>
  </w:p>
  <w:p w14:paraId="4EDAD179" w14:textId="77777777" w:rsidR="009638D8" w:rsidRDefault="009638D8" w:rsidP="0015101C"/>
  <w:p w14:paraId="3BA30006" w14:textId="77777777" w:rsidR="00EE7338" w:rsidRDefault="00EE7338" w:rsidP="0015101C"/>
  <w:p w14:paraId="7744C3B0" w14:textId="77777777" w:rsidR="00EE7338" w:rsidRDefault="00EE7338" w:rsidP="0015101C"/>
  <w:p w14:paraId="24142B27" w14:textId="77777777" w:rsidR="00EE7338" w:rsidRDefault="00EE7338" w:rsidP="001510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B8C0" w14:textId="4CF9B163" w:rsidR="00EE7338" w:rsidRDefault="00B60E3E" w:rsidP="006F00FD">
    <w:pPr>
      <w:pStyle w:val="Footer"/>
      <w:ind w:right="360"/>
    </w:pPr>
    <w:r>
      <w:rPr>
        <w:noProof/>
      </w:rPr>
      <w:drawing>
        <wp:anchor distT="0" distB="0" distL="114300" distR="114300" simplePos="0" relativeHeight="251666432" behindDoc="0" locked="0" layoutInCell="1" allowOverlap="1" wp14:anchorId="221705A6" wp14:editId="176D0961">
          <wp:simplePos x="0" y="0"/>
          <wp:positionH relativeFrom="column">
            <wp:posOffset>5392882</wp:posOffset>
          </wp:positionH>
          <wp:positionV relativeFrom="paragraph">
            <wp:posOffset>-1102071</wp:posOffset>
          </wp:positionV>
          <wp:extent cx="1788976" cy="1788976"/>
          <wp:effectExtent l="0" t="0" r="1905" b="0"/>
          <wp:wrapNone/>
          <wp:docPr id="1033864932" name="Picture 4" descr="A colorful triang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64932" name="Picture 10" descr="A colorful triangle with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8976" cy="17889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62724" w14:textId="77777777" w:rsidR="00763A57" w:rsidRDefault="00763A57" w:rsidP="0015101C">
      <w:r>
        <w:separator/>
      </w:r>
    </w:p>
    <w:p w14:paraId="33B87AC7" w14:textId="77777777" w:rsidR="00763A57" w:rsidRDefault="00763A57" w:rsidP="0015101C"/>
    <w:p w14:paraId="474AF0F2" w14:textId="77777777" w:rsidR="00763A57" w:rsidRDefault="00763A57" w:rsidP="0015101C"/>
    <w:p w14:paraId="210A46C9" w14:textId="77777777" w:rsidR="00763A57" w:rsidRDefault="00763A57" w:rsidP="0015101C"/>
    <w:p w14:paraId="224A62D1" w14:textId="77777777" w:rsidR="00763A57" w:rsidRDefault="00763A57" w:rsidP="0015101C"/>
  </w:footnote>
  <w:footnote w:type="continuationSeparator" w:id="0">
    <w:p w14:paraId="77796582" w14:textId="77777777" w:rsidR="00763A57" w:rsidRDefault="00763A57" w:rsidP="0015101C">
      <w:r>
        <w:continuationSeparator/>
      </w:r>
    </w:p>
    <w:p w14:paraId="073832F4" w14:textId="77777777" w:rsidR="00763A57" w:rsidRDefault="00763A57" w:rsidP="0015101C"/>
    <w:p w14:paraId="12075E89" w14:textId="77777777" w:rsidR="00763A57" w:rsidRDefault="00763A57" w:rsidP="0015101C"/>
    <w:p w14:paraId="3FC26178" w14:textId="77777777" w:rsidR="00763A57" w:rsidRDefault="00763A57" w:rsidP="0015101C"/>
    <w:p w14:paraId="1F221F2C" w14:textId="77777777" w:rsidR="00763A57" w:rsidRDefault="00763A57" w:rsidP="00151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3CA8" w14:textId="77777777" w:rsidR="00E4542D" w:rsidRDefault="00E4542D" w:rsidP="0015101C">
    <w:pPr>
      <w:pStyle w:val="Header"/>
    </w:pPr>
  </w:p>
  <w:p w14:paraId="5A6FB306" w14:textId="77777777" w:rsidR="009638D8" w:rsidRDefault="009638D8" w:rsidP="0015101C"/>
  <w:p w14:paraId="0A33DDA7" w14:textId="77777777" w:rsidR="00EE7338" w:rsidRDefault="00EE7338" w:rsidP="0015101C"/>
  <w:p w14:paraId="02CAF570" w14:textId="77777777" w:rsidR="00EE7338" w:rsidRDefault="00EE7338" w:rsidP="0015101C"/>
  <w:p w14:paraId="3F366BC8" w14:textId="77777777" w:rsidR="00EE7338" w:rsidRDefault="00EE7338" w:rsidP="001510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E39F" w14:textId="645B7BD0" w:rsidR="00B60E3E" w:rsidRPr="00B60E3E" w:rsidRDefault="00B60E3E" w:rsidP="00B60E3E">
    <w:pPr>
      <w:pStyle w:val="Heading1"/>
      <w:rPr>
        <w:sz w:val="40"/>
        <w:szCs w:val="40"/>
      </w:rPr>
    </w:pPr>
    <w:r w:rsidRPr="00B60E3E">
      <w:rPr>
        <w:noProof/>
        <w:color w:val="517740" w:themeColor="accent2"/>
        <w:sz w:val="40"/>
        <w:szCs w:val="40"/>
      </w:rPr>
      <w:drawing>
        <wp:anchor distT="0" distB="0" distL="114300" distR="114300" simplePos="0" relativeHeight="251664384" behindDoc="0" locked="0" layoutInCell="1" allowOverlap="1" wp14:anchorId="684FDDAE" wp14:editId="10972DB3">
          <wp:simplePos x="0" y="0"/>
          <wp:positionH relativeFrom="column">
            <wp:posOffset>5348259</wp:posOffset>
          </wp:positionH>
          <wp:positionV relativeFrom="paragraph">
            <wp:posOffset>43815</wp:posOffset>
          </wp:positionV>
          <wp:extent cx="1346835" cy="539750"/>
          <wp:effectExtent l="0" t="0" r="0" b="0"/>
          <wp:wrapThrough wrapText="bothSides">
            <wp:wrapPolygon edited="0">
              <wp:start x="4888" y="0"/>
              <wp:lineTo x="1629" y="3558"/>
              <wp:lineTo x="1222" y="4574"/>
              <wp:lineTo x="1222" y="8640"/>
              <wp:lineTo x="407" y="11689"/>
              <wp:lineTo x="611" y="13722"/>
              <wp:lineTo x="1629" y="16772"/>
              <wp:lineTo x="1629" y="17280"/>
              <wp:lineTo x="4277" y="19821"/>
              <wp:lineTo x="4685" y="20838"/>
              <wp:lineTo x="5907" y="20838"/>
              <wp:lineTo x="21386" y="19313"/>
              <wp:lineTo x="21386" y="3558"/>
              <wp:lineTo x="5703" y="0"/>
              <wp:lineTo x="4888" y="0"/>
            </wp:wrapPolygon>
          </wp:wrapThrough>
          <wp:docPr id="2088893054" name="Picture 2" descr="A green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93054" name="Picture 3" descr="A green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6835" cy="539750"/>
                  </a:xfrm>
                  <a:prstGeom prst="rect">
                    <a:avLst/>
                  </a:prstGeom>
                </pic:spPr>
              </pic:pic>
            </a:graphicData>
          </a:graphic>
          <wp14:sizeRelH relativeFrom="page">
            <wp14:pctWidth>0</wp14:pctWidth>
          </wp14:sizeRelH>
          <wp14:sizeRelV relativeFrom="page">
            <wp14:pctHeight>0</wp14:pctHeight>
          </wp14:sizeRelV>
        </wp:anchor>
      </w:drawing>
    </w:r>
    <w:r w:rsidR="00CF4463">
      <w:rPr>
        <w:color w:val="517740" w:themeColor="accent2"/>
        <w:sz w:val="40"/>
        <w:szCs w:val="40"/>
      </w:rPr>
      <w:t>Clare Stott</w:t>
    </w:r>
  </w:p>
  <w:p w14:paraId="768AF537" w14:textId="7832936D" w:rsidR="00EE7338" w:rsidRDefault="00EE7338" w:rsidP="00B60E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C887D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941D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3285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8D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06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041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3E21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3837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C02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F8FD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C41C8"/>
    <w:multiLevelType w:val="multilevel"/>
    <w:tmpl w:val="1DFC9FB2"/>
    <w:numStyleLink w:val="Bulletlist"/>
  </w:abstractNum>
  <w:abstractNum w:abstractNumId="11" w15:restartNumberingAfterBreak="0">
    <w:nsid w:val="0A261323"/>
    <w:multiLevelType w:val="hybridMultilevel"/>
    <w:tmpl w:val="BA5272B2"/>
    <w:lvl w:ilvl="0" w:tplc="FFFFFFFF">
      <w:start w:val="1"/>
      <w:numFmt w:val="decimal"/>
      <w:lvlText w:val="%1."/>
      <w:lvlJc w:val="left"/>
      <w:pPr>
        <w:ind w:left="2138" w:hanging="360"/>
      </w:pPr>
      <w:rPr>
        <w:rFonts w:hint="default"/>
        <w:color w:val="136051" w:themeColor="accent1"/>
      </w:rPr>
    </w:lvl>
    <w:lvl w:ilvl="1" w:tplc="F6D88258">
      <w:start w:val="1"/>
      <w:numFmt w:val="bullet"/>
      <w:lvlText w:val="o"/>
      <w:lvlJc w:val="left"/>
      <w:pPr>
        <w:ind w:left="567" w:hanging="57"/>
      </w:pPr>
      <w:rPr>
        <w:rFonts w:ascii="Courier New" w:hAnsi="Courier New" w:hint="default"/>
        <w:color w:val="517740" w:themeColor="accent2"/>
      </w:rPr>
    </w:lvl>
    <w:lvl w:ilvl="2" w:tplc="FFFFFFFF">
      <w:start w:val="1"/>
      <w:numFmt w:val="bullet"/>
      <w:lvlText w:val=""/>
      <w:lvlJc w:val="left"/>
      <w:pPr>
        <w:ind w:left="3578" w:hanging="360"/>
      </w:pPr>
      <w:rPr>
        <w:rFonts w:ascii="Wingdings" w:hAnsi="Wingdings" w:hint="default"/>
        <w:color w:val="000000" w:themeColor="text1"/>
      </w:rPr>
    </w:lvl>
    <w:lvl w:ilvl="3" w:tplc="FFFFFFFF">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2" w15:restartNumberingAfterBreak="0">
    <w:nsid w:val="0DC85242"/>
    <w:multiLevelType w:val="hybridMultilevel"/>
    <w:tmpl w:val="B10250EC"/>
    <w:lvl w:ilvl="0" w:tplc="FFFFFFFF">
      <w:start w:val="1"/>
      <w:numFmt w:val="decimal"/>
      <w:lvlText w:val="%1."/>
      <w:lvlJc w:val="left"/>
      <w:pPr>
        <w:ind w:left="2138" w:hanging="360"/>
      </w:pPr>
      <w:rPr>
        <w:rFonts w:hint="default"/>
        <w:color w:val="136051" w:themeColor="accent1"/>
      </w:rPr>
    </w:lvl>
    <w:lvl w:ilvl="1" w:tplc="86606FC2">
      <w:start w:val="1"/>
      <w:numFmt w:val="bullet"/>
      <w:lvlText w:val="o"/>
      <w:lvlJc w:val="left"/>
      <w:pPr>
        <w:ind w:left="737" w:hanging="170"/>
      </w:pPr>
      <w:rPr>
        <w:rFonts w:ascii="Courier New" w:hAnsi="Courier New" w:hint="default"/>
        <w:color w:val="517740" w:themeColor="accent2"/>
      </w:rPr>
    </w:lvl>
    <w:lvl w:ilvl="2" w:tplc="FFFFFFFF">
      <w:start w:val="1"/>
      <w:numFmt w:val="bullet"/>
      <w:lvlText w:val=""/>
      <w:lvlJc w:val="left"/>
      <w:pPr>
        <w:ind w:left="3578" w:hanging="360"/>
      </w:pPr>
      <w:rPr>
        <w:rFonts w:ascii="Wingdings" w:hAnsi="Wingdings" w:hint="default"/>
        <w:color w:val="000000" w:themeColor="text1"/>
      </w:rPr>
    </w:lvl>
    <w:lvl w:ilvl="3" w:tplc="FFFFFFFF">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3" w15:restartNumberingAfterBreak="0">
    <w:nsid w:val="0E1A1E82"/>
    <w:multiLevelType w:val="hybridMultilevel"/>
    <w:tmpl w:val="3246F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E2C6EE3"/>
    <w:multiLevelType w:val="hybridMultilevel"/>
    <w:tmpl w:val="B69C1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616C26"/>
    <w:multiLevelType w:val="hybridMultilevel"/>
    <w:tmpl w:val="1C38F0B0"/>
    <w:lvl w:ilvl="0" w:tplc="FFFFFFFF">
      <w:start w:val="1"/>
      <w:numFmt w:val="decimal"/>
      <w:lvlText w:val="%1."/>
      <w:lvlJc w:val="left"/>
      <w:pPr>
        <w:ind w:left="2138" w:hanging="360"/>
      </w:pPr>
      <w:rPr>
        <w:rFonts w:hint="default"/>
        <w:color w:val="136051" w:themeColor="accent1"/>
      </w:rPr>
    </w:lvl>
    <w:lvl w:ilvl="1" w:tplc="FA2C0DB2">
      <w:start w:val="1"/>
      <w:numFmt w:val="bullet"/>
      <w:lvlText w:val="o"/>
      <w:lvlJc w:val="left"/>
      <w:pPr>
        <w:ind w:left="567" w:hanging="170"/>
      </w:pPr>
      <w:rPr>
        <w:rFonts w:ascii="Courier New" w:hAnsi="Courier New" w:hint="default"/>
        <w:color w:val="517740" w:themeColor="accent2"/>
      </w:rPr>
    </w:lvl>
    <w:lvl w:ilvl="2" w:tplc="FFFFFFFF">
      <w:start w:val="1"/>
      <w:numFmt w:val="bullet"/>
      <w:lvlText w:val=""/>
      <w:lvlJc w:val="left"/>
      <w:pPr>
        <w:ind w:left="3578" w:hanging="360"/>
      </w:pPr>
      <w:rPr>
        <w:rFonts w:ascii="Wingdings" w:hAnsi="Wingdings" w:hint="default"/>
        <w:color w:val="000000" w:themeColor="text1"/>
      </w:rPr>
    </w:lvl>
    <w:lvl w:ilvl="3" w:tplc="FFFFFFFF">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6" w15:restartNumberingAfterBreak="0">
    <w:nsid w:val="20D3005D"/>
    <w:multiLevelType w:val="hybridMultilevel"/>
    <w:tmpl w:val="B2E8DE0C"/>
    <w:lvl w:ilvl="0" w:tplc="FFFFFFFF">
      <w:start w:val="1"/>
      <w:numFmt w:val="decimal"/>
      <w:lvlText w:val="%1."/>
      <w:lvlJc w:val="left"/>
      <w:pPr>
        <w:ind w:left="2138" w:hanging="360"/>
      </w:pPr>
      <w:rPr>
        <w:rFonts w:hint="default"/>
        <w:color w:val="136051" w:themeColor="accent1"/>
      </w:rPr>
    </w:lvl>
    <w:lvl w:ilvl="1" w:tplc="08090005">
      <w:start w:val="1"/>
      <w:numFmt w:val="bullet"/>
      <w:lvlText w:val=""/>
      <w:lvlJc w:val="left"/>
      <w:pPr>
        <w:ind w:left="2858" w:hanging="360"/>
      </w:pPr>
      <w:rPr>
        <w:rFonts w:ascii="Wingdings" w:hAnsi="Wingdings" w:hint="default"/>
      </w:rPr>
    </w:lvl>
    <w:lvl w:ilvl="2" w:tplc="FFFFFFFF">
      <w:start w:val="1"/>
      <w:numFmt w:val="bullet"/>
      <w:lvlText w:val=""/>
      <w:lvlJc w:val="left"/>
      <w:pPr>
        <w:ind w:left="3578" w:hanging="360"/>
      </w:pPr>
      <w:rPr>
        <w:rFonts w:ascii="Wingdings" w:hAnsi="Wingdings" w:hint="default"/>
        <w:color w:val="000000" w:themeColor="text1"/>
      </w:rPr>
    </w:lvl>
    <w:lvl w:ilvl="3" w:tplc="FFFFFFFF">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7" w15:restartNumberingAfterBreak="0">
    <w:nsid w:val="2BCF5F90"/>
    <w:multiLevelType w:val="hybridMultilevel"/>
    <w:tmpl w:val="D5FE0A1E"/>
    <w:lvl w:ilvl="0" w:tplc="EB604C76">
      <w:numFmt w:val="bullet"/>
      <w:lvlText w:val="•"/>
      <w:lvlJc w:val="left"/>
      <w:pPr>
        <w:ind w:left="720" w:hanging="360"/>
      </w:pPr>
      <w:rPr>
        <w:rFonts w:ascii="Grandview" w:eastAsiaTheme="minorHAnsi" w:hAnsi="Grandvie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22D2B"/>
    <w:multiLevelType w:val="multilevel"/>
    <w:tmpl w:val="1DFC9FB2"/>
    <w:numStyleLink w:val="Bulletlist"/>
  </w:abstractNum>
  <w:abstractNum w:abstractNumId="19" w15:restartNumberingAfterBreak="0">
    <w:nsid w:val="33EE65F5"/>
    <w:multiLevelType w:val="multilevel"/>
    <w:tmpl w:val="1DFC9FB2"/>
    <w:styleLink w:val="Bulletlist"/>
    <w:lvl w:ilvl="0">
      <w:start w:val="1"/>
      <w:numFmt w:val="bullet"/>
      <w:lvlText w:val="§"/>
      <w:lvlJc w:val="left"/>
      <w:pPr>
        <w:ind w:left="360" w:hanging="360"/>
      </w:pPr>
      <w:rPr>
        <w:rFonts w:ascii="Wingdings" w:hAnsi="Wingdings" w:hint="default"/>
        <w:color w:val="136051" w:themeColor="accent1"/>
      </w:rPr>
    </w:lvl>
    <w:lvl w:ilvl="1">
      <w:start w:val="1"/>
      <w:numFmt w:val="bullet"/>
      <w:lvlText w:val="o"/>
      <w:lvlJc w:val="left"/>
      <w:pPr>
        <w:ind w:left="890" w:hanging="170"/>
      </w:pPr>
      <w:rPr>
        <w:rFonts w:ascii="Courier New" w:hAnsi="Courier New" w:hint="default"/>
        <w:color w:val="517740" w:themeColor="accent2"/>
      </w:rPr>
    </w:lvl>
    <w:lvl w:ilvl="2">
      <w:start w:val="1"/>
      <w:numFmt w:val="bullet"/>
      <w:lvlText w:val="§"/>
      <w:lvlJc w:val="left"/>
      <w:pPr>
        <w:ind w:left="1800" w:hanging="360"/>
      </w:pPr>
      <w:rPr>
        <w:rFonts w:ascii="Wingdings" w:hAnsi="Wingdings" w:hint="default"/>
        <w:color w:val="000000" w:themeColor="text1"/>
      </w:rPr>
    </w:lvl>
    <w:lvl w:ilvl="3">
      <w:start w:val="1"/>
      <w:numFmt w:val="bullet"/>
      <w:lvlText w:val=""/>
      <w:lvlJc w:val="left"/>
      <w:pPr>
        <w:ind w:left="252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0" w15:restartNumberingAfterBreak="0">
    <w:nsid w:val="36452416"/>
    <w:multiLevelType w:val="hybridMultilevel"/>
    <w:tmpl w:val="60F4F1D8"/>
    <w:lvl w:ilvl="0" w:tplc="FFFFFFFF">
      <w:start w:val="1"/>
      <w:numFmt w:val="decimal"/>
      <w:lvlText w:val="%1."/>
      <w:lvlJc w:val="left"/>
      <w:pPr>
        <w:ind w:left="2138" w:hanging="360"/>
      </w:pPr>
      <w:rPr>
        <w:rFonts w:hint="default"/>
        <w:color w:val="136051" w:themeColor="accent1"/>
      </w:rPr>
    </w:lvl>
    <w:lvl w:ilvl="1" w:tplc="D87CADBC">
      <w:start w:val="1"/>
      <w:numFmt w:val="bullet"/>
      <w:lvlText w:val="o"/>
      <w:lvlJc w:val="left"/>
      <w:pPr>
        <w:ind w:left="567" w:hanging="283"/>
      </w:pPr>
      <w:rPr>
        <w:rFonts w:ascii="Courier New" w:hAnsi="Courier New" w:hint="default"/>
        <w:color w:val="517740" w:themeColor="accent2"/>
      </w:rPr>
    </w:lvl>
    <w:lvl w:ilvl="2" w:tplc="FFFFFFFF">
      <w:start w:val="1"/>
      <w:numFmt w:val="bullet"/>
      <w:lvlText w:val=""/>
      <w:lvlJc w:val="left"/>
      <w:pPr>
        <w:ind w:left="3578" w:hanging="360"/>
      </w:pPr>
      <w:rPr>
        <w:rFonts w:ascii="Wingdings" w:hAnsi="Wingdings" w:hint="default"/>
        <w:color w:val="000000" w:themeColor="text1"/>
      </w:rPr>
    </w:lvl>
    <w:lvl w:ilvl="3" w:tplc="FFFFFFFF">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1" w15:restartNumberingAfterBreak="0">
    <w:nsid w:val="3E7B3011"/>
    <w:multiLevelType w:val="hybridMultilevel"/>
    <w:tmpl w:val="6C98824A"/>
    <w:lvl w:ilvl="0" w:tplc="D340BF38">
      <w:start w:val="1"/>
      <w:numFmt w:val="bullet"/>
      <w:lvlText w:val=""/>
      <w:lvlJc w:val="left"/>
      <w:pPr>
        <w:ind w:left="284" w:hanging="284"/>
      </w:pPr>
      <w:rPr>
        <w:rFonts w:ascii="Symbol" w:hAnsi="Symbol" w:hint="default"/>
        <w:color w:val="C3D5BC"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9E2C55"/>
    <w:multiLevelType w:val="hybridMultilevel"/>
    <w:tmpl w:val="02306252"/>
    <w:lvl w:ilvl="0" w:tplc="54DE51D4">
      <w:start w:val="1"/>
      <w:numFmt w:val="lowerLetter"/>
      <w:lvlText w:val="%1)"/>
      <w:lvlJc w:val="left"/>
      <w:pPr>
        <w:ind w:left="2138" w:hanging="360"/>
      </w:pPr>
      <w:rPr>
        <w:rFonts w:hint="default"/>
        <w:color w:val="517740" w:themeColor="accent2"/>
      </w:rPr>
    </w:lvl>
    <w:lvl w:ilvl="1" w:tplc="FFFFFFFF">
      <w:start w:val="1"/>
      <w:numFmt w:val="bullet"/>
      <w:lvlText w:val="o"/>
      <w:lvlJc w:val="left"/>
      <w:pPr>
        <w:ind w:left="2858" w:hanging="360"/>
      </w:pPr>
      <w:rPr>
        <w:rFonts w:ascii="Courier New" w:hAnsi="Courier New" w:cs="Courier New" w:hint="default"/>
        <w:color w:val="000000" w:themeColor="text1"/>
      </w:rPr>
    </w:lvl>
    <w:lvl w:ilvl="2" w:tplc="FFFFFFFF">
      <w:start w:val="1"/>
      <w:numFmt w:val="bullet"/>
      <w:lvlText w:val=""/>
      <w:lvlJc w:val="left"/>
      <w:pPr>
        <w:ind w:left="3578" w:hanging="360"/>
      </w:pPr>
      <w:rPr>
        <w:rFonts w:ascii="Wingdings" w:hAnsi="Wingdings" w:hint="default"/>
        <w:color w:val="000000" w:themeColor="text1"/>
      </w:rPr>
    </w:lvl>
    <w:lvl w:ilvl="3" w:tplc="FFFFFFFF">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3" w15:restartNumberingAfterBreak="0">
    <w:nsid w:val="57A40174"/>
    <w:multiLevelType w:val="hybridMultilevel"/>
    <w:tmpl w:val="07A6B528"/>
    <w:lvl w:ilvl="0" w:tplc="FFFFFFFF">
      <w:start w:val="1"/>
      <w:numFmt w:val="decimal"/>
      <w:lvlText w:val="%1."/>
      <w:lvlJc w:val="left"/>
      <w:pPr>
        <w:ind w:left="2138" w:hanging="360"/>
      </w:pPr>
      <w:rPr>
        <w:rFonts w:hint="default"/>
        <w:color w:val="136051" w:themeColor="accent1"/>
      </w:rPr>
    </w:lvl>
    <w:lvl w:ilvl="1" w:tplc="94B8C978">
      <w:start w:val="1"/>
      <w:numFmt w:val="bullet"/>
      <w:lvlText w:val="o"/>
      <w:lvlJc w:val="left"/>
      <w:pPr>
        <w:ind w:left="567" w:hanging="170"/>
      </w:pPr>
      <w:rPr>
        <w:rFonts w:ascii="Courier New" w:hAnsi="Courier New" w:hint="default"/>
        <w:color w:val="517740" w:themeColor="accent2"/>
      </w:rPr>
    </w:lvl>
    <w:lvl w:ilvl="2" w:tplc="FFFFFFFF">
      <w:start w:val="1"/>
      <w:numFmt w:val="bullet"/>
      <w:lvlText w:val=""/>
      <w:lvlJc w:val="left"/>
      <w:pPr>
        <w:ind w:left="3578" w:hanging="360"/>
      </w:pPr>
      <w:rPr>
        <w:rFonts w:ascii="Wingdings" w:hAnsi="Wingdings" w:hint="default"/>
        <w:color w:val="000000" w:themeColor="text1"/>
      </w:rPr>
    </w:lvl>
    <w:lvl w:ilvl="3" w:tplc="FFFFFFFF">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4" w15:restartNumberingAfterBreak="0">
    <w:nsid w:val="5A1D63B0"/>
    <w:multiLevelType w:val="hybridMultilevel"/>
    <w:tmpl w:val="113EBC74"/>
    <w:lvl w:ilvl="0" w:tplc="506E0C5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3476538"/>
    <w:multiLevelType w:val="hybridMultilevel"/>
    <w:tmpl w:val="B7CEFDFA"/>
    <w:lvl w:ilvl="0" w:tplc="08C8344A">
      <w:start w:val="1"/>
      <w:numFmt w:val="decimal"/>
      <w:pStyle w:val="ListParagraph"/>
      <w:lvlText w:val="%1."/>
      <w:lvlJc w:val="left"/>
      <w:pPr>
        <w:ind w:left="2138" w:hanging="360"/>
      </w:pPr>
      <w:rPr>
        <w:rFonts w:hint="default"/>
        <w:color w:val="136051" w:themeColor="accent1"/>
      </w:rPr>
    </w:lvl>
    <w:lvl w:ilvl="1" w:tplc="2A1E296C">
      <w:start w:val="1"/>
      <w:numFmt w:val="bullet"/>
      <w:lvlText w:val="o"/>
      <w:lvlJc w:val="left"/>
      <w:pPr>
        <w:ind w:left="737" w:hanging="170"/>
      </w:pPr>
      <w:rPr>
        <w:rFonts w:ascii="Courier New" w:hAnsi="Courier New" w:hint="default"/>
        <w:color w:val="517740" w:themeColor="accent2"/>
      </w:rPr>
    </w:lvl>
    <w:lvl w:ilvl="2" w:tplc="E0C43B1E">
      <w:start w:val="1"/>
      <w:numFmt w:val="bullet"/>
      <w:lvlText w:val=""/>
      <w:lvlJc w:val="left"/>
      <w:pPr>
        <w:ind w:left="3578" w:hanging="360"/>
      </w:pPr>
      <w:rPr>
        <w:rFonts w:ascii="Wingdings" w:hAnsi="Wingdings" w:hint="default"/>
        <w:color w:val="000000" w:themeColor="text1"/>
      </w:rPr>
    </w:lvl>
    <w:lvl w:ilvl="3" w:tplc="0809000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6B724713"/>
    <w:multiLevelType w:val="hybridMultilevel"/>
    <w:tmpl w:val="C1D6EB3C"/>
    <w:lvl w:ilvl="0" w:tplc="DF02D89E">
      <w:start w:val="1"/>
      <w:numFmt w:val="lowerLetter"/>
      <w:lvlText w:val="%1)"/>
      <w:lvlJc w:val="left"/>
      <w:pPr>
        <w:ind w:left="2138" w:hanging="360"/>
      </w:pPr>
      <w:rPr>
        <w:rFonts w:hint="default"/>
        <w:i w:val="0"/>
        <w:iCs w:val="0"/>
        <w:color w:val="000000" w:themeColor="text1"/>
      </w:rPr>
    </w:lvl>
    <w:lvl w:ilvl="1" w:tplc="1B84F754">
      <w:start w:val="1"/>
      <w:numFmt w:val="bullet"/>
      <w:lvlText w:val="o"/>
      <w:lvlJc w:val="left"/>
      <w:pPr>
        <w:ind w:left="2858" w:hanging="360"/>
      </w:pPr>
      <w:rPr>
        <w:rFonts w:ascii="Courier New" w:hAnsi="Courier New" w:cs="Courier New" w:hint="default"/>
        <w:color w:val="000000" w:themeColor="text1"/>
      </w:rPr>
    </w:lvl>
    <w:lvl w:ilvl="2" w:tplc="FFFFFFFF">
      <w:start w:val="1"/>
      <w:numFmt w:val="bullet"/>
      <w:lvlText w:val=""/>
      <w:lvlJc w:val="left"/>
      <w:pPr>
        <w:ind w:left="3578" w:hanging="360"/>
      </w:pPr>
      <w:rPr>
        <w:rFonts w:ascii="Wingdings" w:hAnsi="Wingdings" w:hint="default"/>
        <w:color w:val="000000" w:themeColor="text1"/>
      </w:rPr>
    </w:lvl>
    <w:lvl w:ilvl="3" w:tplc="FFFFFFFF">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7" w15:restartNumberingAfterBreak="0">
    <w:nsid w:val="6F283412"/>
    <w:multiLevelType w:val="hybridMultilevel"/>
    <w:tmpl w:val="B8C01952"/>
    <w:lvl w:ilvl="0" w:tplc="7EDC24C4">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71E10F46"/>
    <w:multiLevelType w:val="hybridMultilevel"/>
    <w:tmpl w:val="8E04B8B8"/>
    <w:lvl w:ilvl="0" w:tplc="FFFFFFFF">
      <w:start w:val="1"/>
      <w:numFmt w:val="decimal"/>
      <w:lvlText w:val="%1."/>
      <w:lvlJc w:val="left"/>
      <w:pPr>
        <w:ind w:left="2138" w:hanging="360"/>
      </w:pPr>
      <w:rPr>
        <w:rFonts w:hint="default"/>
        <w:color w:val="136051" w:themeColor="accent1"/>
      </w:rPr>
    </w:lvl>
    <w:lvl w:ilvl="1" w:tplc="816C8F9C">
      <w:start w:val="1"/>
      <w:numFmt w:val="bullet"/>
      <w:lvlText w:val="o"/>
      <w:lvlJc w:val="left"/>
      <w:pPr>
        <w:ind w:left="567" w:hanging="170"/>
      </w:pPr>
      <w:rPr>
        <w:rFonts w:ascii="Courier New" w:hAnsi="Courier New" w:hint="default"/>
        <w:color w:val="517740" w:themeColor="accent2"/>
      </w:rPr>
    </w:lvl>
    <w:lvl w:ilvl="2" w:tplc="FFFFFFFF">
      <w:start w:val="1"/>
      <w:numFmt w:val="bullet"/>
      <w:lvlText w:val=""/>
      <w:lvlJc w:val="left"/>
      <w:pPr>
        <w:ind w:left="3578" w:hanging="360"/>
      </w:pPr>
      <w:rPr>
        <w:rFonts w:ascii="Wingdings" w:hAnsi="Wingdings" w:hint="default"/>
        <w:color w:val="000000" w:themeColor="text1"/>
      </w:rPr>
    </w:lvl>
    <w:lvl w:ilvl="3" w:tplc="FFFFFFFF">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9" w15:restartNumberingAfterBreak="0">
    <w:nsid w:val="76417202"/>
    <w:multiLevelType w:val="multilevel"/>
    <w:tmpl w:val="1DFC9FB2"/>
    <w:numStyleLink w:val="Bulletlist"/>
  </w:abstractNum>
  <w:abstractNum w:abstractNumId="30" w15:restartNumberingAfterBreak="0">
    <w:nsid w:val="7C243197"/>
    <w:multiLevelType w:val="multilevel"/>
    <w:tmpl w:val="1DFC9FB2"/>
    <w:numStyleLink w:val="Bulletlist"/>
  </w:abstractNum>
  <w:abstractNum w:abstractNumId="31" w15:restartNumberingAfterBreak="0">
    <w:nsid w:val="7E387E9D"/>
    <w:multiLevelType w:val="hybridMultilevel"/>
    <w:tmpl w:val="EFD0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4674216">
    <w:abstractNumId w:val="25"/>
  </w:num>
  <w:num w:numId="2" w16cid:durableId="1680619691">
    <w:abstractNumId w:val="26"/>
  </w:num>
  <w:num w:numId="3" w16cid:durableId="1869492037">
    <w:abstractNumId w:val="22"/>
  </w:num>
  <w:num w:numId="4" w16cid:durableId="218513803">
    <w:abstractNumId w:val="27"/>
  </w:num>
  <w:num w:numId="5" w16cid:durableId="100075587">
    <w:abstractNumId w:val="24"/>
  </w:num>
  <w:num w:numId="6" w16cid:durableId="1872643369">
    <w:abstractNumId w:val="31"/>
  </w:num>
  <w:num w:numId="7" w16cid:durableId="678696152">
    <w:abstractNumId w:val="14"/>
  </w:num>
  <w:num w:numId="8" w16cid:durableId="340938649">
    <w:abstractNumId w:val="16"/>
  </w:num>
  <w:num w:numId="9" w16cid:durableId="2018339809">
    <w:abstractNumId w:val="12"/>
  </w:num>
  <w:num w:numId="10" w16cid:durableId="1820732897">
    <w:abstractNumId w:val="11"/>
  </w:num>
  <w:num w:numId="11" w16cid:durableId="519393766">
    <w:abstractNumId w:val="20"/>
  </w:num>
  <w:num w:numId="12" w16cid:durableId="2085570000">
    <w:abstractNumId w:val="23"/>
  </w:num>
  <w:num w:numId="13" w16cid:durableId="904293563">
    <w:abstractNumId w:val="15"/>
  </w:num>
  <w:num w:numId="14" w16cid:durableId="828905378">
    <w:abstractNumId w:val="28"/>
  </w:num>
  <w:num w:numId="15" w16cid:durableId="77557675">
    <w:abstractNumId w:val="19"/>
  </w:num>
  <w:num w:numId="16" w16cid:durableId="139733988">
    <w:abstractNumId w:val="10"/>
  </w:num>
  <w:num w:numId="17" w16cid:durableId="526257499">
    <w:abstractNumId w:val="30"/>
  </w:num>
  <w:num w:numId="18" w16cid:durableId="990600114">
    <w:abstractNumId w:val="29"/>
  </w:num>
  <w:num w:numId="19" w16cid:durableId="1112087134">
    <w:abstractNumId w:val="18"/>
  </w:num>
  <w:num w:numId="20" w16cid:durableId="342975532">
    <w:abstractNumId w:val="0"/>
  </w:num>
  <w:num w:numId="21" w16cid:durableId="1595475488">
    <w:abstractNumId w:val="1"/>
  </w:num>
  <w:num w:numId="22" w16cid:durableId="433945195">
    <w:abstractNumId w:val="2"/>
  </w:num>
  <w:num w:numId="23" w16cid:durableId="1487165298">
    <w:abstractNumId w:val="3"/>
  </w:num>
  <w:num w:numId="24" w16cid:durableId="1121537470">
    <w:abstractNumId w:val="8"/>
  </w:num>
  <w:num w:numId="25" w16cid:durableId="1800343004">
    <w:abstractNumId w:val="4"/>
  </w:num>
  <w:num w:numId="26" w16cid:durableId="39524321">
    <w:abstractNumId w:val="5"/>
  </w:num>
  <w:num w:numId="27" w16cid:durableId="1731608567">
    <w:abstractNumId w:val="6"/>
  </w:num>
  <w:num w:numId="28" w16cid:durableId="258024428">
    <w:abstractNumId w:val="7"/>
  </w:num>
  <w:num w:numId="29" w16cid:durableId="203760359">
    <w:abstractNumId w:val="9"/>
  </w:num>
  <w:num w:numId="30" w16cid:durableId="128475797">
    <w:abstractNumId w:val="21"/>
  </w:num>
  <w:num w:numId="31" w16cid:durableId="1893615951">
    <w:abstractNumId w:val="13"/>
  </w:num>
  <w:num w:numId="32" w16cid:durableId="792139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E3E"/>
    <w:rsid w:val="00092E2E"/>
    <w:rsid w:val="00094DEE"/>
    <w:rsid w:val="0015101C"/>
    <w:rsid w:val="00190E3C"/>
    <w:rsid w:val="001A2C79"/>
    <w:rsid w:val="00215DFB"/>
    <w:rsid w:val="00276C7C"/>
    <w:rsid w:val="00277B6A"/>
    <w:rsid w:val="002B205A"/>
    <w:rsid w:val="002C0889"/>
    <w:rsid w:val="002C1988"/>
    <w:rsid w:val="00307833"/>
    <w:rsid w:val="00314368"/>
    <w:rsid w:val="0032171F"/>
    <w:rsid w:val="003279FC"/>
    <w:rsid w:val="003378CA"/>
    <w:rsid w:val="00371E47"/>
    <w:rsid w:val="003F79AE"/>
    <w:rsid w:val="004233F8"/>
    <w:rsid w:val="004378EA"/>
    <w:rsid w:val="00490E6C"/>
    <w:rsid w:val="004C2504"/>
    <w:rsid w:val="004D03E4"/>
    <w:rsid w:val="00577151"/>
    <w:rsid w:val="005A6DD5"/>
    <w:rsid w:val="00617500"/>
    <w:rsid w:val="00621777"/>
    <w:rsid w:val="006651E0"/>
    <w:rsid w:val="00674724"/>
    <w:rsid w:val="0067567D"/>
    <w:rsid w:val="00694D08"/>
    <w:rsid w:val="006F00FD"/>
    <w:rsid w:val="007545EC"/>
    <w:rsid w:val="00763A57"/>
    <w:rsid w:val="00772E22"/>
    <w:rsid w:val="00784743"/>
    <w:rsid w:val="007D0DE1"/>
    <w:rsid w:val="007E2ED5"/>
    <w:rsid w:val="00816CEF"/>
    <w:rsid w:val="00860330"/>
    <w:rsid w:val="0087733D"/>
    <w:rsid w:val="00886E48"/>
    <w:rsid w:val="00892817"/>
    <w:rsid w:val="008E4ADA"/>
    <w:rsid w:val="00905765"/>
    <w:rsid w:val="00944FDF"/>
    <w:rsid w:val="009638D8"/>
    <w:rsid w:val="00990116"/>
    <w:rsid w:val="009A129E"/>
    <w:rsid w:val="009C451B"/>
    <w:rsid w:val="00A1269E"/>
    <w:rsid w:val="00A214EE"/>
    <w:rsid w:val="00A30AD0"/>
    <w:rsid w:val="00A66C87"/>
    <w:rsid w:val="00A947BB"/>
    <w:rsid w:val="00AA6659"/>
    <w:rsid w:val="00AB065F"/>
    <w:rsid w:val="00B449F2"/>
    <w:rsid w:val="00B60E3E"/>
    <w:rsid w:val="00B71BFB"/>
    <w:rsid w:val="00BC5AD0"/>
    <w:rsid w:val="00C11ED3"/>
    <w:rsid w:val="00C22611"/>
    <w:rsid w:val="00C43FAE"/>
    <w:rsid w:val="00C56E89"/>
    <w:rsid w:val="00C8292C"/>
    <w:rsid w:val="00CF4463"/>
    <w:rsid w:val="00D310D3"/>
    <w:rsid w:val="00D565AC"/>
    <w:rsid w:val="00D62E29"/>
    <w:rsid w:val="00D77C24"/>
    <w:rsid w:val="00DA7D9D"/>
    <w:rsid w:val="00DB027B"/>
    <w:rsid w:val="00DD4B0A"/>
    <w:rsid w:val="00E0174F"/>
    <w:rsid w:val="00E05592"/>
    <w:rsid w:val="00E4542D"/>
    <w:rsid w:val="00E631DF"/>
    <w:rsid w:val="00E63D40"/>
    <w:rsid w:val="00E64052"/>
    <w:rsid w:val="00E917AA"/>
    <w:rsid w:val="00E92A16"/>
    <w:rsid w:val="00EB1DE5"/>
    <w:rsid w:val="00EC16BD"/>
    <w:rsid w:val="00EE7338"/>
    <w:rsid w:val="00EF3407"/>
    <w:rsid w:val="00F05A98"/>
    <w:rsid w:val="00F76BFF"/>
    <w:rsid w:val="00FC4061"/>
    <w:rsid w:val="00FC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EBC4"/>
  <w15:chartTrackingRefBased/>
  <w15:docId w15:val="{4DEC2283-CED0-774D-8CFE-43539C23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1777"/>
    <w:pPr>
      <w:spacing w:after="0" w:line="240" w:lineRule="auto"/>
    </w:pPr>
    <w:rPr>
      <w:rFonts w:ascii="Grandview" w:hAnsi="Grandview" w:cs="Arial"/>
    </w:rPr>
  </w:style>
  <w:style w:type="paragraph" w:styleId="Heading1">
    <w:name w:val="heading 1"/>
    <w:basedOn w:val="Normal"/>
    <w:next w:val="Normal"/>
    <w:link w:val="Heading1Char"/>
    <w:uiPriority w:val="9"/>
    <w:qFormat/>
    <w:rsid w:val="00307833"/>
    <w:pPr>
      <w:keepNext/>
      <w:keepLines/>
      <w:spacing w:before="240" w:line="276" w:lineRule="auto"/>
      <w:outlineLvl w:val="0"/>
    </w:pPr>
    <w:rPr>
      <w:rFonts w:eastAsiaTheme="majorEastAsia" w:cstheme="majorBidi"/>
      <w:b/>
      <w:bCs/>
      <w:color w:val="136051" w:themeColor="accent1"/>
      <w:sz w:val="32"/>
      <w:szCs w:val="32"/>
    </w:rPr>
  </w:style>
  <w:style w:type="paragraph" w:styleId="Heading2">
    <w:name w:val="heading 2"/>
    <w:basedOn w:val="Normal"/>
    <w:next w:val="Normal"/>
    <w:link w:val="Heading2Char"/>
    <w:uiPriority w:val="9"/>
    <w:unhideWhenUsed/>
    <w:qFormat/>
    <w:rsid w:val="00307833"/>
    <w:pPr>
      <w:keepNext/>
      <w:keepLines/>
      <w:spacing w:before="40" w:line="276" w:lineRule="auto"/>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307833"/>
    <w:pPr>
      <w:keepNext/>
      <w:keepLines/>
      <w:spacing w:before="40" w:line="276" w:lineRule="auto"/>
      <w:outlineLvl w:val="2"/>
    </w:pPr>
    <w:rPr>
      <w:rFonts w:eastAsiaTheme="majorEastAsia" w:cstheme="majorBidi"/>
      <w:b/>
      <w:bCs/>
      <w:color w:val="136051" w:themeColor="accent1"/>
      <w:sz w:val="24"/>
      <w:szCs w:val="24"/>
    </w:rPr>
  </w:style>
  <w:style w:type="paragraph" w:styleId="Heading4">
    <w:name w:val="heading 4"/>
    <w:basedOn w:val="Normal"/>
    <w:next w:val="Normal"/>
    <w:link w:val="Heading4Char"/>
    <w:uiPriority w:val="9"/>
    <w:unhideWhenUsed/>
    <w:qFormat/>
    <w:rsid w:val="00307833"/>
    <w:pPr>
      <w:keepNext/>
      <w:keepLines/>
      <w:spacing w:before="40" w:line="276" w:lineRule="auto"/>
      <w:outlineLvl w:val="3"/>
    </w:pPr>
    <w:rPr>
      <w:rFonts w:eastAsiaTheme="majorEastAsia" w:cstheme="majorBidi"/>
      <w:b/>
      <w:bCs/>
      <w:color w:val="000000" w:themeColor="text1"/>
    </w:rPr>
  </w:style>
  <w:style w:type="paragraph" w:styleId="Heading5">
    <w:name w:val="heading 5"/>
    <w:basedOn w:val="Normal"/>
    <w:next w:val="Normal"/>
    <w:link w:val="Heading5Char"/>
    <w:uiPriority w:val="9"/>
    <w:semiHidden/>
    <w:unhideWhenUsed/>
    <w:rsid w:val="00E92A16"/>
    <w:pPr>
      <w:keepNext/>
      <w:keepLines/>
      <w:spacing w:before="40" w:line="276" w:lineRule="auto"/>
      <w:outlineLvl w:val="4"/>
    </w:pPr>
    <w:rPr>
      <w:rFonts w:eastAsiaTheme="majorEastAsia" w:cstheme="majorBidi"/>
      <w:color w:val="0E473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E92A16"/>
    <w:pPr>
      <w:spacing w:line="276" w:lineRule="auto"/>
      <w:ind w:left="440" w:hanging="440"/>
    </w:pPr>
    <w:rPr>
      <w:rFonts w:cstheme="minorHAnsi"/>
      <w:bCs/>
      <w:sz w:val="20"/>
      <w:szCs w:val="20"/>
    </w:rPr>
  </w:style>
  <w:style w:type="character" w:styleId="Hyperlink">
    <w:name w:val="Hyperlink"/>
    <w:basedOn w:val="SubtleEmphasis"/>
    <w:uiPriority w:val="99"/>
    <w:unhideWhenUsed/>
    <w:rsid w:val="0015101C"/>
    <w:rPr>
      <w:rFonts w:ascii="Grandview" w:hAnsi="Grandview" w:cs="Times New Roman (Body CS)"/>
      <w:b w:val="0"/>
      <w:i w:val="0"/>
      <w:color w:val="517740" w:themeColor="accent2"/>
      <w:sz w:val="22"/>
      <w:szCs w:val="28"/>
      <w:u w:val="single"/>
    </w:rPr>
  </w:style>
  <w:style w:type="paragraph" w:styleId="Header">
    <w:name w:val="header"/>
    <w:basedOn w:val="Normal"/>
    <w:link w:val="HeaderChar"/>
    <w:uiPriority w:val="99"/>
    <w:unhideWhenUsed/>
    <w:rsid w:val="00E4542D"/>
    <w:pPr>
      <w:tabs>
        <w:tab w:val="center" w:pos="4513"/>
        <w:tab w:val="right" w:pos="9026"/>
      </w:tabs>
    </w:pPr>
    <w:rPr>
      <w:rFonts w:cstheme="minorBidi"/>
    </w:rPr>
  </w:style>
  <w:style w:type="character" w:customStyle="1" w:styleId="HeaderChar">
    <w:name w:val="Header Char"/>
    <w:basedOn w:val="DefaultParagraphFont"/>
    <w:link w:val="Header"/>
    <w:uiPriority w:val="99"/>
    <w:rsid w:val="00E4542D"/>
  </w:style>
  <w:style w:type="paragraph" w:styleId="Footer">
    <w:name w:val="footer"/>
    <w:basedOn w:val="Normal"/>
    <w:link w:val="FooterChar"/>
    <w:uiPriority w:val="99"/>
    <w:unhideWhenUsed/>
    <w:rsid w:val="00E4542D"/>
    <w:pPr>
      <w:tabs>
        <w:tab w:val="center" w:pos="4513"/>
        <w:tab w:val="right" w:pos="9026"/>
      </w:tabs>
    </w:pPr>
    <w:rPr>
      <w:rFonts w:cstheme="minorBidi"/>
    </w:rPr>
  </w:style>
  <w:style w:type="character" w:customStyle="1" w:styleId="FooterChar">
    <w:name w:val="Footer Char"/>
    <w:basedOn w:val="DefaultParagraphFont"/>
    <w:link w:val="Footer"/>
    <w:uiPriority w:val="99"/>
    <w:rsid w:val="00E4542D"/>
  </w:style>
  <w:style w:type="character" w:styleId="PageNumber">
    <w:name w:val="page number"/>
    <w:basedOn w:val="DefaultParagraphFont"/>
    <w:uiPriority w:val="99"/>
    <w:semiHidden/>
    <w:unhideWhenUsed/>
    <w:rsid w:val="00990116"/>
  </w:style>
  <w:style w:type="table" w:styleId="TableGrid">
    <w:name w:val="Table Grid"/>
    <w:basedOn w:val="TableNormal"/>
    <w:uiPriority w:val="39"/>
    <w:rsid w:val="00990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9901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99011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0116"/>
    <w:pPr>
      <w:spacing w:after="0" w:line="240" w:lineRule="auto"/>
    </w:pPr>
    <w:tblPr>
      <w:tblStyleRowBandSize w:val="1"/>
      <w:tblStyleColBandSize w:val="1"/>
      <w:tblBorders>
        <w:top w:val="single" w:sz="4" w:space="0" w:color="F9C4C2" w:themeColor="accent4" w:themeTint="66"/>
        <w:left w:val="single" w:sz="4" w:space="0" w:color="F9C4C2" w:themeColor="accent4" w:themeTint="66"/>
        <w:bottom w:val="single" w:sz="4" w:space="0" w:color="F9C4C2" w:themeColor="accent4" w:themeTint="66"/>
        <w:right w:val="single" w:sz="4" w:space="0" w:color="F9C4C2" w:themeColor="accent4" w:themeTint="66"/>
        <w:insideH w:val="single" w:sz="4" w:space="0" w:color="F9C4C2" w:themeColor="accent4" w:themeTint="66"/>
        <w:insideV w:val="single" w:sz="4" w:space="0" w:color="F9C4C2" w:themeColor="accent4" w:themeTint="66"/>
      </w:tblBorders>
    </w:tblPr>
    <w:tblStylePr w:type="firstRow">
      <w:rPr>
        <w:b/>
        <w:bCs/>
      </w:rPr>
      <w:tblPr/>
      <w:tcPr>
        <w:tcBorders>
          <w:bottom w:val="single" w:sz="12" w:space="0" w:color="F7A7A4" w:themeColor="accent4" w:themeTint="99"/>
        </w:tcBorders>
      </w:tcPr>
    </w:tblStylePr>
    <w:tblStylePr w:type="lastRow">
      <w:rPr>
        <w:b/>
        <w:bCs/>
      </w:rPr>
      <w:tblPr/>
      <w:tcPr>
        <w:tcBorders>
          <w:top w:val="double" w:sz="2" w:space="0" w:color="F7A7A4" w:themeColor="accent4"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990116"/>
    <w:pPr>
      <w:spacing w:after="0" w:line="240" w:lineRule="auto"/>
    </w:pPr>
    <w:tblPr>
      <w:tblStyleRowBandSize w:val="1"/>
      <w:tblStyleColBandSize w:val="1"/>
      <w:tblBorders>
        <w:top w:val="single" w:sz="2" w:space="0" w:color="91BA7F" w:themeColor="accent2" w:themeTint="99"/>
        <w:bottom w:val="single" w:sz="2" w:space="0" w:color="91BA7F" w:themeColor="accent2" w:themeTint="99"/>
        <w:insideH w:val="single" w:sz="2" w:space="0" w:color="91BA7F" w:themeColor="accent2" w:themeTint="99"/>
        <w:insideV w:val="single" w:sz="2" w:space="0" w:color="91BA7F" w:themeColor="accent2" w:themeTint="99"/>
      </w:tblBorders>
    </w:tblPr>
    <w:tblStylePr w:type="firstRow">
      <w:rPr>
        <w:b/>
        <w:bCs/>
      </w:rPr>
      <w:tblPr/>
      <w:tcPr>
        <w:tcBorders>
          <w:top w:val="nil"/>
          <w:bottom w:val="single" w:sz="12" w:space="0" w:color="91BA7F" w:themeColor="accent2" w:themeTint="99"/>
          <w:insideH w:val="nil"/>
          <w:insideV w:val="nil"/>
        </w:tcBorders>
        <w:shd w:val="clear" w:color="auto" w:fill="FFFFFF" w:themeFill="background1"/>
      </w:tcPr>
    </w:tblStylePr>
    <w:tblStylePr w:type="lastRow">
      <w:rPr>
        <w:b/>
        <w:bCs/>
      </w:rPr>
      <w:tblPr/>
      <w:tcPr>
        <w:tcBorders>
          <w:top w:val="double" w:sz="2" w:space="0" w:color="91BA7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D4" w:themeFill="accent2" w:themeFillTint="33"/>
      </w:tcPr>
    </w:tblStylePr>
    <w:tblStylePr w:type="band1Horz">
      <w:tblPr/>
      <w:tcPr>
        <w:shd w:val="clear" w:color="auto" w:fill="DAE8D4" w:themeFill="accent2" w:themeFillTint="33"/>
      </w:tcPr>
    </w:tblStylePr>
  </w:style>
  <w:style w:type="table" w:styleId="GridTable1Light-Accent2">
    <w:name w:val="Grid Table 1 Light Accent 2"/>
    <w:basedOn w:val="TableNormal"/>
    <w:uiPriority w:val="46"/>
    <w:rsid w:val="00990116"/>
    <w:pPr>
      <w:spacing w:after="0" w:line="240" w:lineRule="auto"/>
    </w:pPr>
    <w:tblPr>
      <w:tblStyleRowBandSize w:val="1"/>
      <w:tblStyleColBandSize w:val="1"/>
      <w:tblBorders>
        <w:top w:val="single" w:sz="4" w:space="0" w:color="B5D1A9" w:themeColor="accent2" w:themeTint="66"/>
        <w:left w:val="single" w:sz="4" w:space="0" w:color="B5D1A9" w:themeColor="accent2" w:themeTint="66"/>
        <w:bottom w:val="single" w:sz="4" w:space="0" w:color="B5D1A9" w:themeColor="accent2" w:themeTint="66"/>
        <w:right w:val="single" w:sz="4" w:space="0" w:color="B5D1A9" w:themeColor="accent2" w:themeTint="66"/>
        <w:insideH w:val="single" w:sz="4" w:space="0" w:color="B5D1A9" w:themeColor="accent2" w:themeTint="66"/>
        <w:insideV w:val="single" w:sz="4" w:space="0" w:color="B5D1A9" w:themeColor="accent2" w:themeTint="66"/>
      </w:tblBorders>
    </w:tblPr>
    <w:tblStylePr w:type="firstRow">
      <w:rPr>
        <w:b/>
        <w:bCs/>
      </w:rPr>
      <w:tblPr/>
      <w:tcPr>
        <w:tcBorders>
          <w:bottom w:val="single" w:sz="12" w:space="0" w:color="91BA7F" w:themeColor="accent2" w:themeTint="99"/>
        </w:tcBorders>
      </w:tcPr>
    </w:tblStylePr>
    <w:tblStylePr w:type="lastRow">
      <w:rPr>
        <w:b/>
        <w:bCs/>
      </w:rPr>
      <w:tblPr/>
      <w:tcPr>
        <w:tcBorders>
          <w:top w:val="double" w:sz="2" w:space="0" w:color="91BA7F" w:themeColor="accent2" w:themeTint="99"/>
        </w:tcBorders>
      </w:tcPr>
    </w:tblStylePr>
    <w:tblStylePr w:type="firstCol">
      <w:rPr>
        <w:b/>
        <w:bCs/>
      </w:rPr>
    </w:tblStylePr>
    <w:tblStylePr w:type="lastCol">
      <w:rPr>
        <w:b/>
        <w:bCs/>
      </w:rPr>
    </w:tblStylePr>
  </w:style>
  <w:style w:type="table" w:styleId="GridTable2">
    <w:name w:val="Grid Table 2"/>
    <w:basedOn w:val="TableNormal"/>
    <w:uiPriority w:val="47"/>
    <w:rsid w:val="0099011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0116"/>
    <w:pPr>
      <w:spacing w:after="0" w:line="240" w:lineRule="auto"/>
    </w:pPr>
    <w:tblPr>
      <w:tblStyleRowBandSize w:val="1"/>
      <w:tblStyleColBandSize w:val="1"/>
      <w:tblBorders>
        <w:top w:val="single" w:sz="2" w:space="0" w:color="39D7B8" w:themeColor="accent1" w:themeTint="99"/>
        <w:bottom w:val="single" w:sz="2" w:space="0" w:color="39D7B8" w:themeColor="accent1" w:themeTint="99"/>
        <w:insideH w:val="single" w:sz="2" w:space="0" w:color="39D7B8" w:themeColor="accent1" w:themeTint="99"/>
        <w:insideV w:val="single" w:sz="2" w:space="0" w:color="39D7B8" w:themeColor="accent1" w:themeTint="99"/>
      </w:tblBorders>
    </w:tblPr>
    <w:tblStylePr w:type="firstRow">
      <w:rPr>
        <w:b/>
        <w:bCs/>
      </w:rPr>
      <w:tblPr/>
      <w:tcPr>
        <w:tcBorders>
          <w:top w:val="nil"/>
          <w:bottom w:val="single" w:sz="12" w:space="0" w:color="39D7B8" w:themeColor="accent1" w:themeTint="99"/>
          <w:insideH w:val="nil"/>
          <w:insideV w:val="nil"/>
        </w:tcBorders>
        <w:shd w:val="clear" w:color="auto" w:fill="FFFFFF" w:themeFill="background1"/>
      </w:tcPr>
    </w:tblStylePr>
    <w:tblStylePr w:type="lastRow">
      <w:rPr>
        <w:b/>
        <w:bCs/>
      </w:rPr>
      <w:tblPr/>
      <w:tcPr>
        <w:tcBorders>
          <w:top w:val="double" w:sz="2" w:space="0" w:color="39D7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F2E7" w:themeFill="accent1" w:themeFillTint="33"/>
      </w:tcPr>
    </w:tblStylePr>
    <w:tblStylePr w:type="band1Horz">
      <w:tblPr/>
      <w:tcPr>
        <w:shd w:val="clear" w:color="auto" w:fill="BDF2E7" w:themeFill="accent1" w:themeFillTint="33"/>
      </w:tcPr>
    </w:tblStylePr>
  </w:style>
  <w:style w:type="table" w:styleId="GridTable2-Accent3">
    <w:name w:val="Grid Table 2 Accent 3"/>
    <w:basedOn w:val="TableNormal"/>
    <w:uiPriority w:val="47"/>
    <w:rsid w:val="00990116"/>
    <w:pPr>
      <w:spacing w:after="0" w:line="240" w:lineRule="auto"/>
    </w:pPr>
    <w:tblPr>
      <w:tblStyleRowBandSize w:val="1"/>
      <w:tblStyleColBandSize w:val="1"/>
      <w:tblBorders>
        <w:top w:val="single" w:sz="2" w:space="0" w:color="DAE5D6" w:themeColor="accent3" w:themeTint="99"/>
        <w:bottom w:val="single" w:sz="2" w:space="0" w:color="DAE5D6" w:themeColor="accent3" w:themeTint="99"/>
        <w:insideH w:val="single" w:sz="2" w:space="0" w:color="DAE5D6" w:themeColor="accent3" w:themeTint="99"/>
        <w:insideV w:val="single" w:sz="2" w:space="0" w:color="DAE5D6" w:themeColor="accent3" w:themeTint="99"/>
      </w:tblBorders>
    </w:tblPr>
    <w:tblStylePr w:type="firstRow">
      <w:rPr>
        <w:b/>
        <w:bCs/>
      </w:rPr>
      <w:tblPr/>
      <w:tcPr>
        <w:tcBorders>
          <w:top w:val="nil"/>
          <w:bottom w:val="single" w:sz="12" w:space="0" w:color="DAE5D6" w:themeColor="accent3" w:themeTint="99"/>
          <w:insideH w:val="nil"/>
          <w:insideV w:val="nil"/>
        </w:tcBorders>
        <w:shd w:val="clear" w:color="auto" w:fill="FFFFFF" w:themeFill="background1"/>
      </w:tcPr>
    </w:tblStylePr>
    <w:tblStylePr w:type="lastRow">
      <w:rPr>
        <w:b/>
        <w:bCs/>
      </w:rPr>
      <w:tblPr/>
      <w:tcPr>
        <w:tcBorders>
          <w:top w:val="double" w:sz="2" w:space="0" w:color="DAE5D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6F1" w:themeFill="accent3" w:themeFillTint="33"/>
      </w:tcPr>
    </w:tblStylePr>
    <w:tblStylePr w:type="band1Horz">
      <w:tblPr/>
      <w:tcPr>
        <w:shd w:val="clear" w:color="auto" w:fill="F2F6F1" w:themeFill="accent3" w:themeFillTint="33"/>
      </w:tcPr>
    </w:tblStylePr>
  </w:style>
  <w:style w:type="table" w:styleId="GridTable2-Accent4">
    <w:name w:val="Grid Table 2 Accent 4"/>
    <w:basedOn w:val="TableNormal"/>
    <w:uiPriority w:val="47"/>
    <w:rsid w:val="00990116"/>
    <w:pPr>
      <w:spacing w:after="0" w:line="240" w:lineRule="auto"/>
    </w:pPr>
    <w:tblPr>
      <w:tblStyleRowBandSize w:val="1"/>
      <w:tblStyleColBandSize w:val="1"/>
      <w:tblBorders>
        <w:top w:val="single" w:sz="2" w:space="0" w:color="F7A7A4" w:themeColor="accent4" w:themeTint="99"/>
        <w:bottom w:val="single" w:sz="2" w:space="0" w:color="F7A7A4" w:themeColor="accent4" w:themeTint="99"/>
        <w:insideH w:val="single" w:sz="2" w:space="0" w:color="F7A7A4" w:themeColor="accent4" w:themeTint="99"/>
        <w:insideV w:val="single" w:sz="2" w:space="0" w:color="F7A7A4" w:themeColor="accent4" w:themeTint="99"/>
      </w:tblBorders>
    </w:tblPr>
    <w:tblStylePr w:type="firstRow">
      <w:rPr>
        <w:b/>
        <w:bCs/>
      </w:rPr>
      <w:tblPr/>
      <w:tcPr>
        <w:tcBorders>
          <w:top w:val="nil"/>
          <w:bottom w:val="single" w:sz="12" w:space="0" w:color="F7A7A4" w:themeColor="accent4" w:themeTint="99"/>
          <w:insideH w:val="nil"/>
          <w:insideV w:val="nil"/>
        </w:tcBorders>
        <w:shd w:val="clear" w:color="auto" w:fill="FFFFFF" w:themeFill="background1"/>
      </w:tcPr>
    </w:tblStylePr>
    <w:tblStylePr w:type="lastRow">
      <w:rPr>
        <w:b/>
        <w:bCs/>
      </w:rPr>
      <w:tblPr/>
      <w:tcPr>
        <w:tcBorders>
          <w:top w:val="double" w:sz="2" w:space="0" w:color="F7A7A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1E0" w:themeFill="accent4" w:themeFillTint="33"/>
      </w:tcPr>
    </w:tblStylePr>
    <w:tblStylePr w:type="band1Horz">
      <w:tblPr/>
      <w:tcPr>
        <w:shd w:val="clear" w:color="auto" w:fill="FCE1E0" w:themeFill="accent4" w:themeFillTint="33"/>
      </w:tcPr>
    </w:tblStylePr>
  </w:style>
  <w:style w:type="table" w:styleId="GridTable3">
    <w:name w:val="Grid Table 3"/>
    <w:basedOn w:val="TableNormal"/>
    <w:uiPriority w:val="48"/>
    <w:rsid w:val="009901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4">
    <w:name w:val="Grid Table 4 Accent 4"/>
    <w:basedOn w:val="TableNormal"/>
    <w:uiPriority w:val="49"/>
    <w:rsid w:val="00990116"/>
    <w:pPr>
      <w:spacing w:after="0" w:line="240" w:lineRule="auto"/>
    </w:pPr>
    <w:tblPr>
      <w:tblStyleRowBandSize w:val="1"/>
      <w:tblStyleColBandSize w:val="1"/>
      <w:tblBorders>
        <w:top w:val="single" w:sz="4" w:space="0" w:color="F7A7A4" w:themeColor="accent4" w:themeTint="99"/>
        <w:left w:val="single" w:sz="4" w:space="0" w:color="F7A7A4" w:themeColor="accent4" w:themeTint="99"/>
        <w:bottom w:val="single" w:sz="4" w:space="0" w:color="F7A7A4" w:themeColor="accent4" w:themeTint="99"/>
        <w:right w:val="single" w:sz="4" w:space="0" w:color="F7A7A4" w:themeColor="accent4" w:themeTint="99"/>
        <w:insideH w:val="single" w:sz="4" w:space="0" w:color="F7A7A4" w:themeColor="accent4" w:themeTint="99"/>
        <w:insideV w:val="single" w:sz="4" w:space="0" w:color="F7A7A4" w:themeColor="accent4" w:themeTint="99"/>
      </w:tblBorders>
    </w:tblPr>
    <w:tblStylePr w:type="firstRow">
      <w:rPr>
        <w:b/>
        <w:bCs/>
        <w:color w:val="FFFFFF" w:themeColor="background1"/>
      </w:rPr>
      <w:tblPr/>
      <w:tcPr>
        <w:tcBorders>
          <w:top w:val="single" w:sz="4" w:space="0" w:color="F26D69" w:themeColor="accent4"/>
          <w:left w:val="single" w:sz="4" w:space="0" w:color="F26D69" w:themeColor="accent4"/>
          <w:bottom w:val="single" w:sz="4" w:space="0" w:color="F26D69" w:themeColor="accent4"/>
          <w:right w:val="single" w:sz="4" w:space="0" w:color="F26D69" w:themeColor="accent4"/>
          <w:insideH w:val="nil"/>
          <w:insideV w:val="nil"/>
        </w:tcBorders>
        <w:shd w:val="clear" w:color="auto" w:fill="F26D69" w:themeFill="accent4"/>
      </w:tcPr>
    </w:tblStylePr>
    <w:tblStylePr w:type="lastRow">
      <w:rPr>
        <w:b/>
        <w:bCs/>
      </w:rPr>
      <w:tblPr/>
      <w:tcPr>
        <w:tcBorders>
          <w:top w:val="double" w:sz="4" w:space="0" w:color="F26D69" w:themeColor="accent4"/>
        </w:tcBorders>
      </w:tcPr>
    </w:tblStylePr>
    <w:tblStylePr w:type="firstCol">
      <w:rPr>
        <w:b/>
        <w:bCs/>
      </w:rPr>
    </w:tblStylePr>
    <w:tblStylePr w:type="lastCol">
      <w:rPr>
        <w:b/>
        <w:bCs/>
      </w:rPr>
    </w:tblStylePr>
    <w:tblStylePr w:type="band1Vert">
      <w:tblPr/>
      <w:tcPr>
        <w:shd w:val="clear" w:color="auto" w:fill="FCE1E0" w:themeFill="accent4" w:themeFillTint="33"/>
      </w:tcPr>
    </w:tblStylePr>
    <w:tblStylePr w:type="band1Horz">
      <w:tblPr/>
      <w:tcPr>
        <w:shd w:val="clear" w:color="auto" w:fill="FCE1E0" w:themeFill="accent4" w:themeFillTint="33"/>
      </w:tcPr>
    </w:tblStylePr>
  </w:style>
  <w:style w:type="table" w:styleId="GridTable4-Accent2">
    <w:name w:val="Grid Table 4 Accent 2"/>
    <w:basedOn w:val="TableNormal"/>
    <w:uiPriority w:val="49"/>
    <w:rsid w:val="00990116"/>
    <w:pPr>
      <w:spacing w:after="0" w:line="240" w:lineRule="auto"/>
    </w:pPr>
    <w:tblPr>
      <w:tblStyleRowBandSize w:val="1"/>
      <w:tblStyleColBandSize w:val="1"/>
      <w:tblBorders>
        <w:top w:val="single" w:sz="4" w:space="0" w:color="91BA7F" w:themeColor="accent2" w:themeTint="99"/>
        <w:left w:val="single" w:sz="4" w:space="0" w:color="91BA7F" w:themeColor="accent2" w:themeTint="99"/>
        <w:bottom w:val="single" w:sz="4" w:space="0" w:color="91BA7F" w:themeColor="accent2" w:themeTint="99"/>
        <w:right w:val="single" w:sz="4" w:space="0" w:color="91BA7F" w:themeColor="accent2" w:themeTint="99"/>
        <w:insideH w:val="single" w:sz="4" w:space="0" w:color="91BA7F" w:themeColor="accent2" w:themeTint="99"/>
        <w:insideV w:val="single" w:sz="4" w:space="0" w:color="91BA7F" w:themeColor="accent2" w:themeTint="99"/>
      </w:tblBorders>
    </w:tblPr>
    <w:tblStylePr w:type="firstRow">
      <w:rPr>
        <w:b/>
        <w:bCs/>
        <w:color w:val="FFFFFF" w:themeColor="background1"/>
      </w:rPr>
      <w:tblPr/>
      <w:tcPr>
        <w:tcBorders>
          <w:top w:val="single" w:sz="4" w:space="0" w:color="517740" w:themeColor="accent2"/>
          <w:left w:val="single" w:sz="4" w:space="0" w:color="517740" w:themeColor="accent2"/>
          <w:bottom w:val="single" w:sz="4" w:space="0" w:color="517740" w:themeColor="accent2"/>
          <w:right w:val="single" w:sz="4" w:space="0" w:color="517740" w:themeColor="accent2"/>
          <w:insideH w:val="nil"/>
          <w:insideV w:val="nil"/>
        </w:tcBorders>
        <w:shd w:val="clear" w:color="auto" w:fill="517740" w:themeFill="accent2"/>
      </w:tcPr>
    </w:tblStylePr>
    <w:tblStylePr w:type="lastRow">
      <w:rPr>
        <w:b/>
        <w:bCs/>
      </w:rPr>
      <w:tblPr/>
      <w:tcPr>
        <w:tcBorders>
          <w:top w:val="double" w:sz="4" w:space="0" w:color="517740" w:themeColor="accent2"/>
        </w:tcBorders>
      </w:tcPr>
    </w:tblStylePr>
    <w:tblStylePr w:type="firstCol">
      <w:rPr>
        <w:b/>
        <w:bCs/>
      </w:rPr>
    </w:tblStylePr>
    <w:tblStylePr w:type="lastCol">
      <w:rPr>
        <w:b/>
        <w:bCs/>
      </w:rPr>
    </w:tblStylePr>
    <w:tblStylePr w:type="band1Vert">
      <w:tblPr/>
      <w:tcPr>
        <w:shd w:val="clear" w:color="auto" w:fill="DAE8D4" w:themeFill="accent2" w:themeFillTint="33"/>
      </w:tcPr>
    </w:tblStylePr>
    <w:tblStylePr w:type="band1Horz">
      <w:tblPr/>
      <w:tcPr>
        <w:shd w:val="clear" w:color="auto" w:fill="DAE8D4" w:themeFill="accent2" w:themeFillTint="33"/>
      </w:tcPr>
    </w:tblStylePr>
  </w:style>
  <w:style w:type="paragraph" w:styleId="ListParagraph">
    <w:name w:val="List Paragraph"/>
    <w:basedOn w:val="Normal"/>
    <w:uiPriority w:val="34"/>
    <w:qFormat/>
    <w:rsid w:val="001A2C79"/>
    <w:pPr>
      <w:numPr>
        <w:numId w:val="1"/>
      </w:numPr>
      <w:spacing w:after="160" w:line="276" w:lineRule="auto"/>
      <w:ind w:left="284" w:hanging="284"/>
      <w:contextualSpacing/>
    </w:pPr>
    <w:rPr>
      <w:rFonts w:cstheme="minorBidi"/>
    </w:rPr>
  </w:style>
  <w:style w:type="character" w:styleId="FollowedHyperlink">
    <w:name w:val="FollowedHyperlink"/>
    <w:basedOn w:val="DefaultParagraphFont"/>
    <w:uiPriority w:val="99"/>
    <w:semiHidden/>
    <w:unhideWhenUsed/>
    <w:rsid w:val="00990116"/>
    <w:rPr>
      <w:color w:val="FFFFFF" w:themeColor="followedHyperlink"/>
      <w:u w:val="single"/>
    </w:rPr>
  </w:style>
  <w:style w:type="character" w:styleId="UnresolvedMention">
    <w:name w:val="Unresolved Mention"/>
    <w:basedOn w:val="DefaultParagraphFont"/>
    <w:uiPriority w:val="99"/>
    <w:semiHidden/>
    <w:unhideWhenUsed/>
    <w:rsid w:val="004D03E4"/>
    <w:rPr>
      <w:color w:val="605E5C"/>
      <w:shd w:val="clear" w:color="auto" w:fill="E1DFDD"/>
    </w:rPr>
  </w:style>
  <w:style w:type="paragraph" w:styleId="Caption">
    <w:name w:val="caption"/>
    <w:basedOn w:val="Normal"/>
    <w:next w:val="Normal"/>
    <w:uiPriority w:val="35"/>
    <w:unhideWhenUsed/>
    <w:qFormat/>
    <w:rsid w:val="005A6DD5"/>
    <w:pPr>
      <w:spacing w:after="200"/>
    </w:pPr>
    <w:rPr>
      <w:rFonts w:cstheme="minorBidi"/>
      <w:i/>
      <w:iCs/>
      <w:sz w:val="18"/>
      <w:szCs w:val="18"/>
    </w:rPr>
  </w:style>
  <w:style w:type="character" w:styleId="Emphasis">
    <w:name w:val="Emphasis"/>
    <w:aliases w:val="Quote credit"/>
    <w:basedOn w:val="DefaultParagraphFont"/>
    <w:uiPriority w:val="20"/>
    <w:qFormat/>
    <w:rsid w:val="00621777"/>
    <w:rPr>
      <w:rFonts w:ascii="Grandview" w:hAnsi="Grandview"/>
      <w:i/>
      <w:iCs/>
    </w:rPr>
  </w:style>
  <w:style w:type="paragraph" w:styleId="FootnoteText">
    <w:name w:val="footnote text"/>
    <w:basedOn w:val="Normal"/>
    <w:link w:val="FootnoteTextChar"/>
    <w:uiPriority w:val="99"/>
    <w:unhideWhenUsed/>
    <w:rsid w:val="005A6DD5"/>
    <w:rPr>
      <w:rFonts w:cstheme="minorBidi"/>
      <w:sz w:val="16"/>
      <w:szCs w:val="16"/>
    </w:rPr>
  </w:style>
  <w:style w:type="character" w:customStyle="1" w:styleId="FootnoteTextChar">
    <w:name w:val="Footnote Text Char"/>
    <w:basedOn w:val="DefaultParagraphFont"/>
    <w:link w:val="FootnoteText"/>
    <w:uiPriority w:val="99"/>
    <w:rsid w:val="005A6DD5"/>
    <w:rPr>
      <w:rFonts w:ascii="Grandview" w:hAnsi="Grandview"/>
      <w:sz w:val="16"/>
      <w:szCs w:val="16"/>
    </w:rPr>
  </w:style>
  <w:style w:type="character" w:styleId="FootnoteReference">
    <w:name w:val="footnote reference"/>
    <w:basedOn w:val="DefaultParagraphFont"/>
    <w:uiPriority w:val="99"/>
    <w:semiHidden/>
    <w:unhideWhenUsed/>
    <w:rsid w:val="00674724"/>
    <w:rPr>
      <w:vertAlign w:val="superscript"/>
    </w:rPr>
  </w:style>
  <w:style w:type="character" w:customStyle="1" w:styleId="Heading1Char">
    <w:name w:val="Heading 1 Char"/>
    <w:basedOn w:val="DefaultParagraphFont"/>
    <w:link w:val="Heading1"/>
    <w:uiPriority w:val="9"/>
    <w:rsid w:val="00307833"/>
    <w:rPr>
      <w:rFonts w:ascii="Grandview" w:eastAsiaTheme="majorEastAsia" w:hAnsi="Grandview" w:cstheme="majorBidi"/>
      <w:b/>
      <w:bCs/>
      <w:color w:val="136051" w:themeColor="accent1"/>
      <w:sz w:val="32"/>
      <w:szCs w:val="32"/>
    </w:rPr>
  </w:style>
  <w:style w:type="paragraph" w:styleId="TOCHeading">
    <w:name w:val="TOC Heading"/>
    <w:basedOn w:val="Heading1"/>
    <w:next w:val="Normal"/>
    <w:uiPriority w:val="39"/>
    <w:unhideWhenUsed/>
    <w:qFormat/>
    <w:rsid w:val="005A6DD5"/>
    <w:pPr>
      <w:spacing w:before="480"/>
      <w:outlineLvl w:val="9"/>
    </w:pPr>
    <w:rPr>
      <w:sz w:val="36"/>
      <w:szCs w:val="36"/>
      <w:lang w:val="en-US"/>
    </w:rPr>
  </w:style>
  <w:style w:type="paragraph" w:styleId="TOC2">
    <w:name w:val="toc 2"/>
    <w:basedOn w:val="Normal"/>
    <w:next w:val="Normal"/>
    <w:autoRedefine/>
    <w:uiPriority w:val="39"/>
    <w:unhideWhenUsed/>
    <w:rsid w:val="00E92A16"/>
    <w:pPr>
      <w:spacing w:before="120" w:line="276" w:lineRule="auto"/>
      <w:ind w:left="220"/>
    </w:pPr>
    <w:rPr>
      <w:rFonts w:cstheme="minorHAnsi"/>
      <w:iCs/>
      <w:sz w:val="20"/>
      <w:szCs w:val="20"/>
    </w:rPr>
  </w:style>
  <w:style w:type="paragraph" w:styleId="TOC1">
    <w:name w:val="toc 1"/>
    <w:basedOn w:val="Normal"/>
    <w:next w:val="Normal"/>
    <w:autoRedefine/>
    <w:uiPriority w:val="39"/>
    <w:unhideWhenUsed/>
    <w:rsid w:val="00E92A16"/>
    <w:pPr>
      <w:spacing w:before="240" w:after="120" w:line="276" w:lineRule="auto"/>
    </w:pPr>
    <w:rPr>
      <w:rFonts w:cstheme="minorHAnsi"/>
      <w:bCs/>
      <w:sz w:val="20"/>
      <w:szCs w:val="20"/>
    </w:rPr>
  </w:style>
  <w:style w:type="paragraph" w:styleId="TOC3">
    <w:name w:val="toc 3"/>
    <w:basedOn w:val="Normal"/>
    <w:next w:val="Normal"/>
    <w:autoRedefine/>
    <w:uiPriority w:val="39"/>
    <w:unhideWhenUsed/>
    <w:rsid w:val="00E92A16"/>
    <w:pPr>
      <w:spacing w:line="276" w:lineRule="auto"/>
      <w:ind w:left="440"/>
    </w:pPr>
    <w:rPr>
      <w:rFonts w:cstheme="minorHAnsi"/>
      <w:sz w:val="20"/>
      <w:szCs w:val="20"/>
    </w:rPr>
  </w:style>
  <w:style w:type="paragraph" w:styleId="TOC4">
    <w:name w:val="toc 4"/>
    <w:basedOn w:val="Normal"/>
    <w:next w:val="Normal"/>
    <w:autoRedefine/>
    <w:uiPriority w:val="39"/>
    <w:semiHidden/>
    <w:unhideWhenUsed/>
    <w:rsid w:val="00A947BB"/>
    <w:pPr>
      <w:spacing w:line="276" w:lineRule="auto"/>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947BB"/>
    <w:pPr>
      <w:spacing w:line="276" w:lineRule="auto"/>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947BB"/>
    <w:pPr>
      <w:spacing w:line="276" w:lineRule="auto"/>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947BB"/>
    <w:pPr>
      <w:spacing w:line="276" w:lineRule="auto"/>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947BB"/>
    <w:pPr>
      <w:spacing w:line="276" w:lineRule="auto"/>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947BB"/>
    <w:pPr>
      <w:spacing w:line="276" w:lineRule="auto"/>
      <w:ind w:left="1760"/>
    </w:pPr>
    <w:rPr>
      <w:rFonts w:asciiTheme="minorHAnsi" w:hAnsiTheme="minorHAnsi" w:cstheme="minorHAnsi"/>
      <w:sz w:val="20"/>
      <w:szCs w:val="20"/>
    </w:rPr>
  </w:style>
  <w:style w:type="paragraph" w:styleId="Title">
    <w:name w:val="Title"/>
    <w:basedOn w:val="Normal"/>
    <w:next w:val="Normal"/>
    <w:link w:val="TitleChar"/>
    <w:uiPriority w:val="10"/>
    <w:qFormat/>
    <w:rsid w:val="00A947BB"/>
    <w:pPr>
      <w:spacing w:after="160"/>
      <w:ind w:right="1416"/>
    </w:pPr>
    <w:rPr>
      <w:rFonts w:cs="Times New Roman (Body CS)"/>
      <w:b/>
      <w:color w:val="136051" w:themeColor="accent1"/>
      <w:sz w:val="96"/>
      <w:szCs w:val="96"/>
    </w:rPr>
  </w:style>
  <w:style w:type="character" w:customStyle="1" w:styleId="TitleChar">
    <w:name w:val="Title Char"/>
    <w:basedOn w:val="DefaultParagraphFont"/>
    <w:link w:val="Title"/>
    <w:uiPriority w:val="10"/>
    <w:rsid w:val="00A947BB"/>
    <w:rPr>
      <w:rFonts w:ascii="Grandview" w:hAnsi="Grandview" w:cs="Times New Roman (Body CS)"/>
      <w:b/>
      <w:color w:val="136051" w:themeColor="accent1"/>
      <w:sz w:val="96"/>
      <w:szCs w:val="96"/>
    </w:rPr>
  </w:style>
  <w:style w:type="paragraph" w:styleId="Subtitle">
    <w:name w:val="Subtitle"/>
    <w:basedOn w:val="Normal"/>
    <w:next w:val="Normal"/>
    <w:link w:val="SubtitleChar"/>
    <w:uiPriority w:val="11"/>
    <w:qFormat/>
    <w:rsid w:val="00A947BB"/>
    <w:pPr>
      <w:spacing w:after="160" w:line="192" w:lineRule="auto"/>
      <w:ind w:right="1416"/>
    </w:pPr>
    <w:rPr>
      <w:rFonts w:cs="Times New Roman (Body CS)"/>
      <w:b/>
      <w:sz w:val="32"/>
      <w:szCs w:val="32"/>
    </w:rPr>
  </w:style>
  <w:style w:type="character" w:customStyle="1" w:styleId="SubtitleChar">
    <w:name w:val="Subtitle Char"/>
    <w:basedOn w:val="DefaultParagraphFont"/>
    <w:link w:val="Subtitle"/>
    <w:uiPriority w:val="11"/>
    <w:rsid w:val="00A947BB"/>
    <w:rPr>
      <w:rFonts w:ascii="Grandview" w:hAnsi="Grandview" w:cs="Times New Roman (Body CS)"/>
      <w:b/>
      <w:sz w:val="32"/>
      <w:szCs w:val="32"/>
    </w:rPr>
  </w:style>
  <w:style w:type="character" w:styleId="SubtleEmphasis">
    <w:name w:val="Subtle Emphasis"/>
    <w:aliases w:val="Introduction text"/>
    <w:uiPriority w:val="19"/>
    <w:qFormat/>
    <w:rsid w:val="00621777"/>
    <w:rPr>
      <w:rFonts w:ascii="Grandview" w:hAnsi="Grandview" w:cs="Times New Roman (Body CS)"/>
      <w:b w:val="0"/>
      <w:i w:val="0"/>
      <w:color w:val="517740" w:themeColor="accent2"/>
      <w:sz w:val="28"/>
      <w:szCs w:val="28"/>
    </w:rPr>
  </w:style>
  <w:style w:type="character" w:styleId="Strong">
    <w:name w:val="Strong"/>
    <w:uiPriority w:val="22"/>
    <w:qFormat/>
    <w:rsid w:val="00621777"/>
    <w:rPr>
      <w:rFonts w:ascii="Grandview" w:hAnsi="Grandview"/>
      <w:b w:val="0"/>
      <w:bCs/>
      <w:i w:val="0"/>
    </w:rPr>
  </w:style>
  <w:style w:type="paragraph" w:styleId="Quote">
    <w:name w:val="Quote"/>
    <w:basedOn w:val="Normal"/>
    <w:next w:val="Normal"/>
    <w:link w:val="QuoteChar"/>
    <w:uiPriority w:val="29"/>
    <w:qFormat/>
    <w:rsid w:val="00A66C87"/>
    <w:pPr>
      <w:spacing w:after="160" w:line="276" w:lineRule="auto"/>
    </w:pPr>
    <w:rPr>
      <w:rFonts w:cs="Open Sans"/>
      <w:b/>
      <w:bCs/>
      <w:color w:val="517740" w:themeColor="accent2"/>
      <w:sz w:val="32"/>
      <w:szCs w:val="32"/>
      <w:bdr w:val="none" w:sz="0" w:space="0" w:color="auto" w:frame="1"/>
      <w:shd w:val="clear" w:color="auto" w:fill="FFFFFF"/>
    </w:rPr>
  </w:style>
  <w:style w:type="character" w:customStyle="1" w:styleId="QuoteChar">
    <w:name w:val="Quote Char"/>
    <w:basedOn w:val="DefaultParagraphFont"/>
    <w:link w:val="Quote"/>
    <w:uiPriority w:val="29"/>
    <w:rsid w:val="00A66C87"/>
    <w:rPr>
      <w:rFonts w:ascii="Grandview" w:hAnsi="Grandview" w:cs="Open Sans"/>
      <w:b/>
      <w:bCs/>
      <w:color w:val="517740" w:themeColor="accent2"/>
      <w:sz w:val="32"/>
      <w:szCs w:val="32"/>
      <w:bdr w:val="none" w:sz="0" w:space="0" w:color="auto" w:frame="1"/>
    </w:rPr>
  </w:style>
  <w:style w:type="character" w:customStyle="1" w:styleId="Heading2Char">
    <w:name w:val="Heading 2 Char"/>
    <w:basedOn w:val="DefaultParagraphFont"/>
    <w:link w:val="Heading2"/>
    <w:uiPriority w:val="9"/>
    <w:rsid w:val="00307833"/>
    <w:rPr>
      <w:rFonts w:ascii="Grandview" w:eastAsiaTheme="majorEastAsia" w:hAnsi="Grandview" w:cstheme="majorBidi"/>
      <w:b/>
      <w:bCs/>
      <w:color w:val="000000" w:themeColor="text1"/>
      <w:sz w:val="26"/>
      <w:szCs w:val="26"/>
    </w:rPr>
  </w:style>
  <w:style w:type="paragraph" w:styleId="NoSpacing">
    <w:name w:val="No Spacing"/>
    <w:uiPriority w:val="1"/>
    <w:qFormat/>
    <w:rsid w:val="00307833"/>
    <w:pPr>
      <w:spacing w:after="0" w:line="240" w:lineRule="auto"/>
    </w:pPr>
    <w:rPr>
      <w:rFonts w:ascii="Grandview" w:hAnsi="Grandview"/>
    </w:rPr>
  </w:style>
  <w:style w:type="character" w:customStyle="1" w:styleId="Heading3Char">
    <w:name w:val="Heading 3 Char"/>
    <w:basedOn w:val="DefaultParagraphFont"/>
    <w:link w:val="Heading3"/>
    <w:uiPriority w:val="9"/>
    <w:rsid w:val="00307833"/>
    <w:rPr>
      <w:rFonts w:ascii="Grandview" w:eastAsiaTheme="majorEastAsia" w:hAnsi="Grandview" w:cstheme="majorBidi"/>
      <w:b/>
      <w:bCs/>
      <w:color w:val="136051" w:themeColor="accent1"/>
      <w:sz w:val="24"/>
      <w:szCs w:val="24"/>
    </w:rPr>
  </w:style>
  <w:style w:type="character" w:customStyle="1" w:styleId="Heading4Char">
    <w:name w:val="Heading 4 Char"/>
    <w:basedOn w:val="DefaultParagraphFont"/>
    <w:link w:val="Heading4"/>
    <w:uiPriority w:val="9"/>
    <w:rsid w:val="00307833"/>
    <w:rPr>
      <w:rFonts w:ascii="Grandview" w:eastAsiaTheme="majorEastAsia" w:hAnsi="Grandview" w:cstheme="majorBidi"/>
      <w:b/>
      <w:bCs/>
      <w:color w:val="000000" w:themeColor="text1"/>
    </w:rPr>
  </w:style>
  <w:style w:type="character" w:styleId="IntenseEmphasis">
    <w:name w:val="Intense Emphasis"/>
    <w:basedOn w:val="DefaultParagraphFont"/>
    <w:uiPriority w:val="21"/>
    <w:qFormat/>
    <w:rsid w:val="00621777"/>
    <w:rPr>
      <w:rFonts w:ascii="Grandview" w:hAnsi="Grandview"/>
      <w:b w:val="0"/>
      <w:i w:val="0"/>
      <w:iCs/>
      <w:color w:val="136051" w:themeColor="accent1"/>
    </w:rPr>
  </w:style>
  <w:style w:type="character" w:styleId="IntenseReference">
    <w:name w:val="Intense Reference"/>
    <w:basedOn w:val="DefaultParagraphFont"/>
    <w:uiPriority w:val="32"/>
    <w:qFormat/>
    <w:rsid w:val="005A6DD5"/>
    <w:rPr>
      <w:b/>
      <w:bCs/>
      <w:smallCaps/>
      <w:color w:val="136051" w:themeColor="accent1"/>
      <w:spacing w:val="5"/>
    </w:rPr>
  </w:style>
  <w:style w:type="character" w:styleId="SubtleReference">
    <w:name w:val="Subtle Reference"/>
    <w:basedOn w:val="DefaultParagraphFont"/>
    <w:uiPriority w:val="31"/>
    <w:qFormat/>
    <w:rsid w:val="005A6DD5"/>
    <w:rPr>
      <w:smallCaps/>
      <w:color w:val="5A5A5A" w:themeColor="text1" w:themeTint="A5"/>
    </w:rPr>
  </w:style>
  <w:style w:type="paragraph" w:customStyle="1" w:styleId="FFNormal">
    <w:name w:val="FF Normal"/>
    <w:basedOn w:val="Normal"/>
    <w:link w:val="FFNormalChar"/>
    <w:qFormat/>
    <w:rsid w:val="00E92A16"/>
    <w:pPr>
      <w:spacing w:after="160" w:line="259" w:lineRule="auto"/>
    </w:pPr>
    <w:rPr>
      <w:rFonts w:eastAsia="Calibri" w:cs="Times New Roman"/>
    </w:rPr>
  </w:style>
  <w:style w:type="character" w:customStyle="1" w:styleId="FFNormalChar">
    <w:name w:val="FF Normal Char"/>
    <w:link w:val="FFNormal"/>
    <w:rsid w:val="00E92A16"/>
    <w:rPr>
      <w:rFonts w:ascii="Grandview" w:eastAsia="Calibri" w:hAnsi="Grandview" w:cs="Times New Roman"/>
    </w:rPr>
  </w:style>
  <w:style w:type="paragraph" w:customStyle="1" w:styleId="Footnotehyperlink">
    <w:name w:val="Footnote hyperlink"/>
    <w:basedOn w:val="FootnoteText"/>
    <w:qFormat/>
    <w:rsid w:val="001A2C79"/>
    <w:rPr>
      <w:color w:val="517740" w:themeColor="accent2"/>
      <w:u w:val="single"/>
    </w:rPr>
  </w:style>
  <w:style w:type="numbering" w:customStyle="1" w:styleId="Bulletlist">
    <w:name w:val="Bullet list"/>
    <w:basedOn w:val="NoList"/>
    <w:uiPriority w:val="99"/>
    <w:rsid w:val="001A2C79"/>
    <w:pPr>
      <w:numPr>
        <w:numId w:val="15"/>
      </w:numPr>
    </w:pPr>
  </w:style>
  <w:style w:type="paragraph" w:customStyle="1" w:styleId="BasicParagraph">
    <w:name w:val="[Basic Paragraph]"/>
    <w:basedOn w:val="Normal"/>
    <w:uiPriority w:val="99"/>
    <w:rsid w:val="00E92A16"/>
    <w:pPr>
      <w:autoSpaceDE w:val="0"/>
      <w:autoSpaceDN w:val="0"/>
      <w:adjustRightInd w:val="0"/>
      <w:spacing w:line="288" w:lineRule="auto"/>
      <w:textAlignment w:val="center"/>
    </w:pPr>
    <w:rPr>
      <w:rFonts w:cs="Minion Pro"/>
      <w:color w:val="000000"/>
      <w:szCs w:val="24"/>
      <w14:ligatures w14:val="standardContextual"/>
    </w:rPr>
  </w:style>
  <w:style w:type="character" w:customStyle="1" w:styleId="Heading5Char">
    <w:name w:val="Heading 5 Char"/>
    <w:basedOn w:val="DefaultParagraphFont"/>
    <w:link w:val="Heading5"/>
    <w:uiPriority w:val="9"/>
    <w:semiHidden/>
    <w:rsid w:val="00E92A16"/>
    <w:rPr>
      <w:rFonts w:ascii="Grandview" w:eastAsiaTheme="majorEastAsia" w:hAnsi="Grandview" w:cstheme="majorBidi"/>
      <w:color w:val="0E473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485901">
      <w:bodyDiv w:val="1"/>
      <w:marLeft w:val="0"/>
      <w:marRight w:val="0"/>
      <w:marTop w:val="0"/>
      <w:marBottom w:val="0"/>
      <w:divBdr>
        <w:top w:val="none" w:sz="0" w:space="0" w:color="auto"/>
        <w:left w:val="none" w:sz="0" w:space="0" w:color="auto"/>
        <w:bottom w:val="none" w:sz="0" w:space="0" w:color="auto"/>
        <w:right w:val="none" w:sz="0" w:space="0" w:color="auto"/>
      </w:divBdr>
    </w:div>
    <w:div w:id="1812676577">
      <w:bodyDiv w:val="1"/>
      <w:marLeft w:val="0"/>
      <w:marRight w:val="0"/>
      <w:marTop w:val="0"/>
      <w:marBottom w:val="0"/>
      <w:divBdr>
        <w:top w:val="none" w:sz="0" w:space="0" w:color="auto"/>
        <w:left w:val="none" w:sz="0" w:space="0" w:color="auto"/>
        <w:bottom w:val="none" w:sz="0" w:space="0" w:color="auto"/>
        <w:right w:val="none" w:sz="0" w:space="0" w:color="auto"/>
      </w:divBdr>
    </w:div>
    <w:div w:id="19706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tad Theme">
  <a:themeElements>
    <a:clrScheme name="Itad Theme">
      <a:dk1>
        <a:srgbClr val="000000"/>
      </a:dk1>
      <a:lt1>
        <a:srgbClr val="FFFFFF"/>
      </a:lt1>
      <a:dk2>
        <a:srgbClr val="FFFFFF"/>
      </a:dk2>
      <a:lt2>
        <a:srgbClr val="FCF0E7"/>
      </a:lt2>
      <a:accent1>
        <a:srgbClr val="136051"/>
      </a:accent1>
      <a:accent2>
        <a:srgbClr val="517740"/>
      </a:accent2>
      <a:accent3>
        <a:srgbClr val="C3D5BC"/>
      </a:accent3>
      <a:accent4>
        <a:srgbClr val="F26D69"/>
      </a:accent4>
      <a:accent5>
        <a:srgbClr val="5EC6CA"/>
      </a:accent5>
      <a:accent6>
        <a:srgbClr val="BEC3DF"/>
      </a:accent6>
      <a:hlink>
        <a:srgbClr val="136051"/>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tad Theme" id="{1C653366-0229-994B-97F3-AFB160495716}" vid="{D97F6579-652D-7540-B7BD-B0FD5180355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f3d2a0-0432-4712-8b89-9683c8e314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F426574CC6046B7B2FE4BC1423412" ma:contentTypeVersion="17" ma:contentTypeDescription="Create a new document." ma:contentTypeScope="" ma:versionID="5b970367600dd0efa4815a1afb37c431">
  <xsd:schema xmlns:xsd="http://www.w3.org/2001/XMLSchema" xmlns:xs="http://www.w3.org/2001/XMLSchema" xmlns:p="http://schemas.microsoft.com/office/2006/metadata/properties" xmlns:ns3="8bf3d2a0-0432-4712-8b89-9683c8e314d9" xmlns:ns4="f83530fe-6efa-4c4f-b16c-9fba49aa8626" targetNamespace="http://schemas.microsoft.com/office/2006/metadata/properties" ma:root="true" ma:fieldsID="16d827c311ff3140a85fb99a329a00ce" ns3:_="" ns4:_="">
    <xsd:import namespace="8bf3d2a0-0432-4712-8b89-9683c8e314d9"/>
    <xsd:import namespace="f83530fe-6efa-4c4f-b16c-9fba49aa86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3d2a0-0432-4712-8b89-9683c8e31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530fe-6efa-4c4f-b16c-9fba49aa86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4A7F1-435E-4652-BF22-427B55FA8A8B}">
  <ds:schemaRefs>
    <ds:schemaRef ds:uri="http://schemas.microsoft.com/sharepoint/v3/contenttype/forms"/>
  </ds:schemaRefs>
</ds:datastoreItem>
</file>

<file path=customXml/itemProps2.xml><?xml version="1.0" encoding="utf-8"?>
<ds:datastoreItem xmlns:ds="http://schemas.openxmlformats.org/officeDocument/2006/customXml" ds:itemID="{6C621E57-9D1E-487E-B3FA-2A0190671E80}">
  <ds:schemaRefs>
    <ds:schemaRef ds:uri="http://purl.org/dc/dcmitype/"/>
    <ds:schemaRef ds:uri="http://purl.org/dc/elements/1.1/"/>
    <ds:schemaRef ds:uri="http://schemas.microsoft.com/office/infopath/2007/PartnerControls"/>
    <ds:schemaRef ds:uri="http://schemas.microsoft.com/office/2006/documentManagement/types"/>
    <ds:schemaRef ds:uri="f83530fe-6efa-4c4f-b16c-9fba49aa8626"/>
    <ds:schemaRef ds:uri="http://www.w3.org/XML/1998/namespace"/>
    <ds:schemaRef ds:uri="http://purl.org/dc/terms/"/>
    <ds:schemaRef ds:uri="http://schemas.openxmlformats.org/package/2006/metadata/core-properties"/>
    <ds:schemaRef ds:uri="8bf3d2a0-0432-4712-8b89-9683c8e314d9"/>
    <ds:schemaRef ds:uri="http://schemas.microsoft.com/office/2006/metadata/properties"/>
  </ds:schemaRefs>
</ds:datastoreItem>
</file>

<file path=customXml/itemProps3.xml><?xml version="1.0" encoding="utf-8"?>
<ds:datastoreItem xmlns:ds="http://schemas.openxmlformats.org/officeDocument/2006/customXml" ds:itemID="{4A408312-D56C-4DB9-B1F6-345786D6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3d2a0-0432-4712-8b89-9683c8e314d9"/>
    <ds:schemaRef ds:uri="f83530fe-6efa-4c4f-b16c-9fba49aa8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9CFB0-DDD2-6644-8722-F65EFDF15ED7}">
  <ds:schemaRefs>
    <ds:schemaRef ds:uri="http://schemas.openxmlformats.org/officeDocument/2006/bibliography"/>
  </ds:schemaRefs>
</ds:datastoreItem>
</file>

<file path=docMetadata/LabelInfo.xml><?xml version="1.0" encoding="utf-8"?>
<clbl:labelList xmlns:clbl="http://schemas.microsoft.com/office/2020/mipLabelMetadata">
  <clbl:label id="{286c631e-a776-46ca-adbc-4aaca0a3a360}" enabled="0" method="" siteId="{286c631e-a776-46ca-adbc-4aaca0a3a36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Maurer</dc:creator>
  <cp:keywords/>
  <dc:description/>
  <cp:lastModifiedBy>Clare Stott</cp:lastModifiedBy>
  <cp:revision>28</cp:revision>
  <cp:lastPrinted>2023-10-17T14:29:00Z</cp:lastPrinted>
  <dcterms:created xsi:type="dcterms:W3CDTF">2024-03-21T12:27:00Z</dcterms:created>
  <dcterms:modified xsi:type="dcterms:W3CDTF">2024-03-21T12:50:00Z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0x010100639F426574CC6046B7B2FE4BC1423412</vt:lpwstr>
  </property>
</Properties>
</file>